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rPr>
          <w:color w:val="000000"/>
          <w:sz w:val="32"/>
          <w:szCs w:val="32"/>
        </w:rPr>
      </w:pPr>
      <w:r w:rsidDel="00000000" w:rsidR="00000000" w:rsidRPr="00000000">
        <w:rPr>
          <w:b w:val="1"/>
          <w:color w:val="000000"/>
          <w:sz w:val="32"/>
          <w:szCs w:val="32"/>
          <w:rtl w:val="0"/>
        </w:rPr>
        <w:t xml:space="preserve">TAHOPE Weather Discussion (2020-06-05)</w:t>
      </w: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b w:val="1"/>
          <w:color w:val="000000"/>
          <w:sz w:val="24"/>
          <w:szCs w:val="24"/>
          <w:rtl w:val="0"/>
        </w:rPr>
        <w:t xml:space="preserve">Date (UTC): </w:t>
      </w:r>
      <w:r w:rsidDel="00000000" w:rsidR="00000000" w:rsidRPr="00000000">
        <w:rPr>
          <w:sz w:val="24"/>
          <w:szCs w:val="24"/>
          <w:rtl w:val="0"/>
        </w:rPr>
        <w:t xml:space="preserve">2020</w:t>
      </w:r>
      <w:r w:rsidDel="00000000" w:rsidR="00000000" w:rsidRPr="00000000">
        <w:rPr>
          <w:color w:val="000000"/>
          <w:sz w:val="24"/>
          <w:szCs w:val="24"/>
          <w:rtl w:val="0"/>
        </w:rPr>
        <w:t xml:space="preserve">/0</w:t>
      </w:r>
      <w:r w:rsidDel="00000000" w:rsidR="00000000" w:rsidRPr="00000000">
        <w:rPr>
          <w:sz w:val="24"/>
          <w:szCs w:val="24"/>
          <w:rtl w:val="0"/>
        </w:rPr>
        <w:t xml:space="preserve">6</w:t>
      </w:r>
      <w:r w:rsidDel="00000000" w:rsidR="00000000" w:rsidRPr="00000000">
        <w:rPr>
          <w:color w:val="000000"/>
          <w:sz w:val="24"/>
          <w:szCs w:val="24"/>
          <w:rtl w:val="0"/>
        </w:rPr>
        <w:t xml:space="preserve">/</w:t>
      </w:r>
      <w:r w:rsidDel="00000000" w:rsidR="00000000" w:rsidRPr="00000000">
        <w:rPr>
          <w:sz w:val="24"/>
          <w:szCs w:val="24"/>
          <w:rtl w:val="0"/>
        </w:rPr>
        <w:t xml:space="preserve">05 </w:t>
      </w:r>
      <w:r w:rsidDel="00000000" w:rsidR="00000000" w:rsidRPr="00000000">
        <w:rPr>
          <w:color w:val="000000"/>
          <w:sz w:val="24"/>
          <w:szCs w:val="24"/>
          <w:rtl w:val="0"/>
        </w:rPr>
        <w:t xml:space="preserve">2:</w:t>
      </w:r>
      <w:r w:rsidDel="00000000" w:rsidR="00000000" w:rsidRPr="00000000">
        <w:rPr>
          <w:sz w:val="24"/>
          <w:szCs w:val="24"/>
          <w:rtl w:val="0"/>
        </w:rPr>
        <w:t xml:space="preserve">15</w:t>
      </w: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b w:val="1"/>
          <w:color w:val="000000"/>
          <w:sz w:val="24"/>
          <w:szCs w:val="24"/>
          <w:rtl w:val="0"/>
        </w:rPr>
        <w:t xml:space="preserve">Forecaster: Hsin-hua</w:t>
      </w:r>
      <w:r w:rsidDel="00000000" w:rsidR="00000000" w:rsidRPr="00000000">
        <w:rPr>
          <w:b w:val="1"/>
          <w:sz w:val="24"/>
          <w:szCs w:val="24"/>
          <w:rtl w:val="0"/>
        </w:rPr>
        <w:t xml:space="preserve"> (CWB)</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b w:val="1"/>
          <w:color w:val="000000"/>
          <w:sz w:val="24"/>
          <w:szCs w:val="24"/>
        </w:rPr>
      </w:pPr>
      <w:r w:rsidDel="00000000" w:rsidR="00000000" w:rsidRPr="00000000">
        <w:rPr>
          <w:b w:val="1"/>
          <w:color w:val="000000"/>
          <w:sz w:val="24"/>
          <w:szCs w:val="24"/>
          <w:rtl w:val="0"/>
        </w:rPr>
        <w:t xml:space="preserve">Author: Frederick Iat-Hin Tam (NTU)</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rPr>
          <w:b w:val="1"/>
          <w:color w:val="000000"/>
          <w:sz w:val="24"/>
          <w:szCs w:val="24"/>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b w:val="1"/>
          <w:color w:val="000000"/>
          <w:sz w:val="24"/>
          <w:szCs w:val="24"/>
          <w:rtl w:val="0"/>
        </w:rPr>
        <w:t xml:space="preserve">Summary: </w:t>
      </w:r>
      <w:r w:rsidDel="00000000" w:rsidR="00000000" w:rsidRPr="00000000">
        <w:rPr>
          <w:color w:val="000000"/>
          <w:sz w:val="24"/>
          <w:szCs w:val="24"/>
          <w:rtl w:val="0"/>
        </w:rPr>
        <w:t xml:space="preserve">The currently calm and stable conditions over much of Taiwan is expected to change in the next few days as a surface frontal boundary is forecasted to move gradually to south throughout the remainder of the week. Due to favorable synoptic and low-level forcing, this Mei-yu event has the potential in being relatively active and intense. Expansion of subtropical high is responsible for a forecasted lull after next Monday (8 June). </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sz w:val="28"/>
          <w:szCs w:val="28"/>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b w:val="1"/>
          <w:color w:val="000000"/>
          <w:sz w:val="24"/>
          <w:szCs w:val="24"/>
          <w:rtl w:val="0"/>
        </w:rPr>
        <w:t xml:space="preserve">Day 1 (5 June) update:</w:t>
      </w:r>
      <w:r w:rsidDel="00000000" w:rsidR="00000000" w:rsidRPr="00000000">
        <w:rPr>
          <w:color w:val="000000"/>
          <w:sz w:val="24"/>
          <w:szCs w:val="24"/>
          <w:rtl w:val="0"/>
        </w:rPr>
        <w:t xml:space="preserve"> </w:t>
      </w:r>
      <w:r w:rsidDel="00000000" w:rsidR="00000000" w:rsidRPr="00000000">
        <w:rPr>
          <w:sz w:val="24"/>
          <w:szCs w:val="24"/>
          <w:rtl w:val="0"/>
        </w:rPr>
        <w:t xml:space="preserve">Himawari-8 visible channel satellite imagery (Fig. 1) indicates multiple areas of deep convection in central China and the Okinawa Islands. These deep convective systems are related to a surface frontal area in central China that extends towards the south of Japan. Since the frontal area is currently too far north with respect to the main TAHOPE research domain, the weather pattern for Taiwan remains calm and relatively stable.</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Day 2-3 (6-7 June) outlook:</w:t>
      </w:r>
      <w:r w:rsidDel="00000000" w:rsidR="00000000" w:rsidRPr="00000000">
        <w:rPr>
          <w:sz w:val="24"/>
          <w:szCs w:val="24"/>
          <w:rtl w:val="0"/>
        </w:rPr>
        <w:t xml:space="preserve"> </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tl w:val="0"/>
        </w:rPr>
        <w:t xml:space="preserve">General Outlook:</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Global model guidance (Fig. 2-3) for the next 48 hours is showing a gradual tendency for the surface frontal area to move slightly to the south. This will enhance the low-level instability and provide an avenue of low-level lifting for the TAHOPE domain, which will presumably generate some precipitation over Taiwan. For the synoptic perspective, Taiwan will be located downstream of a trough at 500 hPa (Fig. 4) for the next 24 hours. This could provide some synoptic upward movement, thereby favoring the initiation, sustenance, and intensification of rainy systems near Taiwan on 6 June. While the trough is expected to past Taiwan on 7 June, 500 hPa vorticity field still suggests active convective activity on the 7</w:t>
      </w:r>
      <w:r w:rsidDel="00000000" w:rsidR="00000000" w:rsidRPr="00000000">
        <w:rPr>
          <w:sz w:val="24"/>
          <w:szCs w:val="24"/>
          <w:vertAlign w:val="superscript"/>
          <w:rtl w:val="0"/>
        </w:rPr>
        <w:t xml:space="preserve">th</w:t>
      </w:r>
      <w:r w:rsidDel="00000000" w:rsidR="00000000" w:rsidRPr="00000000">
        <w:rPr>
          <w:sz w:val="24"/>
          <w:szCs w:val="24"/>
          <w:rtl w:val="0"/>
        </w:rPr>
        <w:t xml:space="preserve">.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tl w:val="0"/>
        </w:rPr>
        <w:t xml:space="preserve">Examination of low-level forcing:</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Comparing the low-level wind field and moisture transport characteristics predicted by the global model (Fig. 6-7) shows an increase in southwesterly flow intensity to ~30 knots upstream of Taiwan. This southwesterly flow intensification precedes the southerly surface front movement. The combination of positive 500 hPa vorticity advection (since it is downstream of 500 hPa trough) and enhanced low-level moisture transport upstream of Taiwan could provide favorable forcing for precipitating system development on the 6</w:t>
      </w:r>
      <w:r w:rsidDel="00000000" w:rsidR="00000000" w:rsidRPr="00000000">
        <w:rPr>
          <w:sz w:val="24"/>
          <w:szCs w:val="24"/>
          <w:vertAlign w:val="superscript"/>
          <w:rtl w:val="0"/>
        </w:rPr>
        <w:t xml:space="preserve">th</w:t>
      </w:r>
      <w:r w:rsidDel="00000000" w:rsidR="00000000" w:rsidRPr="00000000">
        <w:rPr>
          <w:sz w:val="24"/>
          <w:szCs w:val="24"/>
          <w:rtl w:val="0"/>
        </w:rPr>
        <w:t xml:space="preserve">. For the 7</w:t>
      </w:r>
      <w:r w:rsidDel="00000000" w:rsidR="00000000" w:rsidRPr="00000000">
        <w:rPr>
          <w:sz w:val="24"/>
          <w:szCs w:val="24"/>
          <w:vertAlign w:val="superscript"/>
          <w:rtl w:val="0"/>
        </w:rPr>
        <w:t xml:space="preserve">th</w:t>
      </w:r>
      <w:r w:rsidDel="00000000" w:rsidR="00000000" w:rsidRPr="00000000">
        <w:rPr>
          <w:sz w:val="24"/>
          <w:szCs w:val="24"/>
          <w:rtl w:val="0"/>
        </w:rPr>
        <w:t xml:space="preserve">, the surface front is expected to continue to close in on Taiwan. 850 hPa wind is forecasted to weaken slightly and there is a slight hint of a convergence zone in the vicinity of Taiwan. The environmental forcing for precipitation system development is forecasted to be concentrated to the low-levels since Taiwan will be located behind the mid-level trough by 7</w:t>
      </w:r>
      <w:r w:rsidDel="00000000" w:rsidR="00000000" w:rsidRPr="00000000">
        <w:rPr>
          <w:sz w:val="24"/>
          <w:szCs w:val="24"/>
          <w:vertAlign w:val="superscript"/>
          <w:rtl w:val="0"/>
        </w:rPr>
        <w:t xml:space="preserve">th</w:t>
      </w:r>
      <w:r w:rsidDel="00000000" w:rsidR="00000000" w:rsidRPr="00000000">
        <w:rPr>
          <w:sz w:val="24"/>
          <w:szCs w:val="24"/>
          <w:rtl w:val="0"/>
        </w:rPr>
        <w:t xml:space="preserve">.</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Discussions on model precipitation forecasts:</w:t>
      </w:r>
      <w:r w:rsidDel="00000000" w:rsidR="00000000" w:rsidRPr="00000000">
        <w:rPr>
          <w:sz w:val="24"/>
          <w:szCs w:val="24"/>
          <w:rtl w:val="0"/>
        </w:rPr>
        <w:t xml:space="preserve"> It is apparent from the model QPFs (Fig. 8) that there is will be a potential precipitation event from 6 June to 8 June, with the strongest precipitation likely occurring during the weekend (6 June-7 June). The models still have substantial disagreements on the type of these precipitation, with the EC showing comparable contributions from frontal precipitation and afternoon thunderstorms over elevated terrain, and the other models (especially the regional models) showing a predominately afternoon thunderstorm-dominated rainfall pattern. For the extended forecast period, the two global models are showing a drying tendency and gradual subsidence of precipitation activity. This tendency is most apparent in the EC model owing to its stronger and more expanded subtropical high.</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14">
      <w:pPr>
        <w:jc w:val="both"/>
        <w:rPr>
          <w:sz w:val="24"/>
          <w:szCs w:val="24"/>
        </w:rPr>
      </w:pPr>
      <w:r w:rsidDel="00000000" w:rsidR="00000000" w:rsidRPr="00000000">
        <w:rPr>
          <w:b w:val="1"/>
          <w:sz w:val="24"/>
          <w:szCs w:val="24"/>
          <w:rtl w:val="0"/>
        </w:rPr>
        <w:t xml:space="preserve">Guidance for decision making: </w:t>
      </w:r>
      <w:r w:rsidDel="00000000" w:rsidR="00000000" w:rsidRPr="00000000">
        <w:rPr>
          <w:rtl w:val="0"/>
        </w:rPr>
      </w:r>
    </w:p>
    <w:p w:rsidR="00000000" w:rsidDel="00000000" w:rsidP="00000000" w:rsidRDefault="00000000" w:rsidRPr="00000000" w14:paraId="00000015">
      <w:pPr>
        <w:jc w:val="both"/>
        <w:rPr>
          <w:sz w:val="24"/>
          <w:szCs w:val="24"/>
        </w:rPr>
      </w:pPr>
      <w:r w:rsidDel="00000000" w:rsidR="00000000" w:rsidRPr="00000000">
        <w:rPr>
          <w:rtl w:val="0"/>
        </w:rPr>
      </w:r>
    </w:p>
    <w:bookmarkStart w:colFirst="0" w:colLast="0" w:name="30j0zll" w:id="0"/>
    <w:bookmarkEnd w:id="0"/>
    <w:bookmarkStart w:colFirst="0" w:colLast="0" w:name="gjdgxs" w:id="1"/>
    <w:bookmarkEnd w:id="1"/>
    <w:p w:rsidR="00000000" w:rsidDel="00000000" w:rsidP="00000000" w:rsidRDefault="00000000" w:rsidRPr="00000000" w14:paraId="00000016">
      <w:pPr>
        <w:jc w:val="both"/>
        <w:rPr>
          <w:b w:val="1"/>
          <w:sz w:val="24"/>
          <w:szCs w:val="24"/>
        </w:rPr>
      </w:pPr>
      <w:r w:rsidDel="00000000" w:rsidR="00000000" w:rsidRPr="00000000">
        <w:rPr>
          <w:b w:val="1"/>
          <w:sz w:val="24"/>
          <w:szCs w:val="24"/>
          <w:rtl w:val="0"/>
        </w:rPr>
        <w:t xml:space="preserve">Day 1:</w:t>
      </w:r>
    </w:p>
    <w:tbl>
      <w:tblPr>
        <w:tblStyle w:val="Table1"/>
        <w:tblW w:w="9340.0" w:type="dxa"/>
        <w:jc w:val="left"/>
        <w:tblInd w:w="0.0" w:type="dxa"/>
        <w:tblLayout w:type="fixed"/>
        <w:tblLook w:val="0400"/>
      </w:tblPr>
      <w:tblGrid>
        <w:gridCol w:w="1313"/>
        <w:gridCol w:w="4205"/>
        <w:gridCol w:w="2071"/>
        <w:gridCol w:w="1751"/>
        <w:tblGridChange w:id="0">
          <w:tblGrid>
            <w:gridCol w:w="1313"/>
            <w:gridCol w:w="4205"/>
            <w:gridCol w:w="2071"/>
            <w:gridCol w:w="1751"/>
          </w:tblGrid>
        </w:tblGridChange>
      </w:tblGrid>
      <w:t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17">
            <w:pPr>
              <w:rPr>
                <w:sz w:val="24"/>
                <w:szCs w:val="24"/>
              </w:rPr>
            </w:pPr>
            <w:r w:rsidDel="00000000" w:rsidR="00000000" w:rsidRPr="00000000">
              <w:rPr>
                <w:rFonts w:ascii="Arial" w:cs="Arial" w:eastAsia="Arial" w:hAnsi="Arial"/>
                <w:color w:val="000000"/>
                <w:sz w:val="22"/>
                <w:szCs w:val="22"/>
                <w:rtl w:val="0"/>
              </w:rPr>
              <w:t xml:space="preserve">Confidence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18">
            <w:pPr>
              <w:rPr>
                <w:sz w:val="24"/>
                <w:szCs w:val="24"/>
              </w:rPr>
            </w:pPr>
            <w:r w:rsidDel="00000000" w:rsidR="00000000" w:rsidRPr="00000000">
              <w:rPr>
                <w:rFonts w:ascii="Arial" w:cs="Arial" w:eastAsia="Arial" w:hAnsi="Arial"/>
                <w:color w:val="000000"/>
                <w:sz w:val="22"/>
                <w:szCs w:val="22"/>
                <w:rtl w:val="0"/>
              </w:rPr>
              <w:t xml:space="preserve">Area and phenomenon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19">
            <w:pPr>
              <w:rPr>
                <w:sz w:val="24"/>
                <w:szCs w:val="24"/>
              </w:rPr>
            </w:pPr>
            <w:r w:rsidDel="00000000" w:rsidR="00000000" w:rsidRPr="00000000">
              <w:rPr>
                <w:rFonts w:ascii="Arial" w:cs="Arial" w:eastAsia="Arial" w:hAnsi="Arial"/>
                <w:color w:val="000000"/>
                <w:sz w:val="22"/>
                <w:szCs w:val="22"/>
                <w:rtl w:val="0"/>
              </w:rPr>
              <w:t xml:space="preserve">Possible time period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1A">
            <w:pPr>
              <w:rPr>
                <w:sz w:val="24"/>
                <w:szCs w:val="24"/>
              </w:rPr>
            </w:pPr>
            <w:r w:rsidDel="00000000" w:rsidR="00000000" w:rsidRPr="00000000">
              <w:rPr>
                <w:rFonts w:ascii="Arial" w:cs="Arial" w:eastAsia="Arial" w:hAnsi="Arial"/>
                <w:color w:val="000000"/>
                <w:sz w:val="22"/>
                <w:szCs w:val="22"/>
                <w:rtl w:val="0"/>
              </w:rPr>
              <w:t xml:space="preserve">Rainfall estimate</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B">
            <w:pPr>
              <w:rPr>
                <w:sz w:val="24"/>
                <w:szCs w:val="24"/>
              </w:rPr>
            </w:pPr>
            <w:r w:rsidDel="00000000" w:rsidR="00000000" w:rsidRPr="00000000">
              <w:rPr>
                <w:rFonts w:ascii="Arial" w:cs="Arial" w:eastAsia="Arial" w:hAnsi="Arial"/>
                <w:color w:val="000000"/>
                <w:sz w:val="22"/>
                <w:szCs w:val="22"/>
                <w:rtl w:val="0"/>
              </w:rPr>
              <w:t xml:space="preserve">Moderate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C">
            <w:pPr>
              <w:rPr>
                <w:sz w:val="24"/>
                <w:szCs w:val="24"/>
              </w:rPr>
            </w:pPr>
            <w:r w:rsidDel="00000000" w:rsidR="00000000" w:rsidRPr="00000000">
              <w:rPr>
                <w:rFonts w:ascii="Arial" w:cs="Arial" w:eastAsia="Arial" w:hAnsi="Arial"/>
                <w:color w:val="000000"/>
                <w:sz w:val="22"/>
                <w:szCs w:val="22"/>
                <w:rtl w:val="0"/>
              </w:rPr>
              <w:t xml:space="preserve">A: Afternoon thunderstorms near TW terrain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D">
            <w:pPr>
              <w:rPr>
                <w:sz w:val="24"/>
                <w:szCs w:val="24"/>
              </w:rPr>
            </w:pPr>
            <w:r w:rsidDel="00000000" w:rsidR="00000000" w:rsidRPr="00000000">
              <w:rPr>
                <w:rFonts w:ascii="Arial" w:cs="Arial" w:eastAsia="Arial" w:hAnsi="Arial"/>
                <w:color w:val="000000"/>
                <w:sz w:val="22"/>
                <w:szCs w:val="22"/>
                <w:rtl w:val="0"/>
              </w:rPr>
              <w:t xml:space="preserve">6:00-12:00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E">
            <w:pPr>
              <w:rPr>
                <w:sz w:val="24"/>
                <w:szCs w:val="24"/>
              </w:rPr>
            </w:pPr>
            <w:r w:rsidDel="00000000" w:rsidR="00000000" w:rsidRPr="00000000">
              <w:rPr>
                <w:rFonts w:ascii="Arial" w:cs="Arial" w:eastAsia="Arial" w:hAnsi="Arial"/>
                <w:color w:val="000000"/>
                <w:sz w:val="22"/>
                <w:szCs w:val="22"/>
                <w:rtl w:val="0"/>
              </w:rPr>
              <w:t xml:space="preserve">30-70mm</w:t>
            </w:r>
            <w:r w:rsidDel="00000000" w:rsidR="00000000" w:rsidRPr="00000000">
              <w:rPr>
                <w:rtl w:val="0"/>
              </w:rPr>
            </w:r>
          </w:p>
        </w:tc>
      </w:tr>
    </w:tbl>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Pr>
        <w:drawing>
          <wp:inline distB="0" distT="0" distL="0" distR="0">
            <wp:extent cx="1910385" cy="2353077"/>
            <wp:effectExtent b="0" l="0" r="0" t="0"/>
            <wp:docPr id="1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910385" cy="235307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3175000</wp:posOffset>
                </wp:positionH>
                <wp:positionV relativeFrom="paragraph">
                  <wp:posOffset>546100</wp:posOffset>
                </wp:positionV>
                <wp:extent cx="475615" cy="367560"/>
                <wp:effectExtent b="0" l="0" r="0" t="0"/>
                <wp:wrapNone/>
                <wp:docPr id="1" name=""/>
                <a:graphic>
                  <a:graphicData uri="http://schemas.microsoft.com/office/word/2010/wordprocessingShape">
                    <wps:wsp>
                      <wps:cNvSpPr/>
                      <wps:cNvPr id="2" name="Shape 2"/>
                      <wps:spPr>
                        <a:xfrm>
                          <a:off x="5117718" y="3605745"/>
                          <a:ext cx="456565" cy="348510"/>
                        </a:xfrm>
                        <a:prstGeom prst="rect">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546100</wp:posOffset>
                </wp:positionV>
                <wp:extent cx="475615" cy="36756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475615" cy="3675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3276600</wp:posOffset>
                </wp:positionH>
                <wp:positionV relativeFrom="paragraph">
                  <wp:posOffset>342900</wp:posOffset>
                </wp:positionV>
                <wp:extent cx="277277" cy="301235"/>
                <wp:effectExtent b="0" l="0" r="0" t="0"/>
                <wp:wrapNone/>
                <wp:docPr id="8" name=""/>
                <a:graphic>
                  <a:graphicData uri="http://schemas.microsoft.com/office/word/2010/wordprocessingShape">
                    <wps:wsp>
                      <wps:cNvSpPr/>
                      <wps:cNvPr id="9" name="Shape 9"/>
                      <wps:spPr>
                        <a:xfrm>
                          <a:off x="5212124" y="3634145"/>
                          <a:ext cx="267752" cy="2917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342900</wp:posOffset>
                </wp:positionV>
                <wp:extent cx="277277" cy="301235"/>
                <wp:effectExtent b="0" l="0" r="0" t="0"/>
                <wp:wrapNone/>
                <wp:docPr id="8"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277277" cy="301235"/>
                        </a:xfrm>
                        <a:prstGeom prst="rect"/>
                        <a:ln/>
                      </pic:spPr>
                    </pic:pic>
                  </a:graphicData>
                </a:graphic>
              </wp:anchor>
            </w:drawing>
          </mc:Fallback>
        </mc:AlternateConten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22">
      <w:pPr>
        <w:jc w:val="both"/>
        <w:rPr>
          <w:b w:val="1"/>
          <w:sz w:val="24"/>
          <w:szCs w:val="24"/>
        </w:rPr>
      </w:pPr>
      <w:r w:rsidDel="00000000" w:rsidR="00000000" w:rsidRPr="00000000">
        <w:rPr>
          <w:b w:val="1"/>
          <w:sz w:val="24"/>
          <w:szCs w:val="24"/>
          <w:rtl w:val="0"/>
        </w:rPr>
        <w:t xml:space="preserve">Day 2:</w:t>
      </w:r>
    </w:p>
    <w:tbl>
      <w:tblPr>
        <w:tblStyle w:val="Table2"/>
        <w:tblW w:w="8371.0" w:type="dxa"/>
        <w:jc w:val="left"/>
        <w:tblInd w:w="0.0" w:type="dxa"/>
        <w:tblLayout w:type="fixed"/>
        <w:tblLook w:val="0400"/>
      </w:tblPr>
      <w:tblGrid>
        <w:gridCol w:w="1313"/>
        <w:gridCol w:w="3050"/>
        <w:gridCol w:w="2181"/>
        <w:gridCol w:w="1827"/>
        <w:tblGridChange w:id="0">
          <w:tblGrid>
            <w:gridCol w:w="1313"/>
            <w:gridCol w:w="3050"/>
            <w:gridCol w:w="2181"/>
            <w:gridCol w:w="1827"/>
          </w:tblGrid>
        </w:tblGridChange>
      </w:tblGrid>
      <w:t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23">
            <w:pPr>
              <w:rPr>
                <w:sz w:val="24"/>
                <w:szCs w:val="24"/>
              </w:rPr>
            </w:pPr>
            <w:r w:rsidDel="00000000" w:rsidR="00000000" w:rsidRPr="00000000">
              <w:rPr>
                <w:rFonts w:ascii="Arial" w:cs="Arial" w:eastAsia="Arial" w:hAnsi="Arial"/>
                <w:color w:val="000000"/>
                <w:sz w:val="22"/>
                <w:szCs w:val="22"/>
                <w:rtl w:val="0"/>
              </w:rPr>
              <w:t xml:space="preserve">Confidence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24">
            <w:pPr>
              <w:rPr>
                <w:sz w:val="24"/>
                <w:szCs w:val="24"/>
              </w:rPr>
            </w:pPr>
            <w:r w:rsidDel="00000000" w:rsidR="00000000" w:rsidRPr="00000000">
              <w:rPr>
                <w:rFonts w:ascii="Arial" w:cs="Arial" w:eastAsia="Arial" w:hAnsi="Arial"/>
                <w:color w:val="000000"/>
                <w:sz w:val="22"/>
                <w:szCs w:val="22"/>
                <w:rtl w:val="0"/>
              </w:rPr>
              <w:t xml:space="preserve">Area and phenomenon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25">
            <w:pPr>
              <w:rPr>
                <w:sz w:val="24"/>
                <w:szCs w:val="24"/>
              </w:rPr>
            </w:pPr>
            <w:r w:rsidDel="00000000" w:rsidR="00000000" w:rsidRPr="00000000">
              <w:rPr>
                <w:rFonts w:ascii="Arial" w:cs="Arial" w:eastAsia="Arial" w:hAnsi="Arial"/>
                <w:color w:val="000000"/>
                <w:sz w:val="22"/>
                <w:szCs w:val="22"/>
                <w:rtl w:val="0"/>
              </w:rPr>
              <w:t xml:space="preserve">Possible time period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26">
            <w:pPr>
              <w:rPr>
                <w:sz w:val="24"/>
                <w:szCs w:val="24"/>
              </w:rPr>
            </w:pPr>
            <w:r w:rsidDel="00000000" w:rsidR="00000000" w:rsidRPr="00000000">
              <w:rPr>
                <w:rFonts w:ascii="Arial" w:cs="Arial" w:eastAsia="Arial" w:hAnsi="Arial"/>
                <w:color w:val="000000"/>
                <w:sz w:val="22"/>
                <w:szCs w:val="22"/>
                <w:rtl w:val="0"/>
              </w:rPr>
              <w:t xml:space="preserve">Rainfall estimate</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7">
            <w:pPr>
              <w:rPr>
                <w:sz w:val="24"/>
                <w:szCs w:val="24"/>
              </w:rPr>
            </w:pPr>
            <w:r w:rsidDel="00000000" w:rsidR="00000000" w:rsidRPr="00000000">
              <w:rPr>
                <w:rFonts w:ascii="Arial" w:cs="Arial" w:eastAsia="Arial" w:hAnsi="Arial"/>
                <w:color w:val="000000"/>
                <w:sz w:val="22"/>
                <w:szCs w:val="22"/>
                <w:rtl w:val="0"/>
              </w:rPr>
              <w:t xml:space="preserve">High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8">
            <w:pPr>
              <w:rPr>
                <w:sz w:val="24"/>
                <w:szCs w:val="24"/>
              </w:rPr>
            </w:pPr>
            <w:r w:rsidDel="00000000" w:rsidR="00000000" w:rsidRPr="00000000">
              <w:rPr>
                <w:rFonts w:ascii="Arial" w:cs="Arial" w:eastAsia="Arial" w:hAnsi="Arial"/>
                <w:color w:val="000000"/>
                <w:sz w:val="22"/>
                <w:szCs w:val="22"/>
                <w:rtl w:val="0"/>
              </w:rPr>
              <w:t xml:space="preserve">A: Afternoon Thunderstorms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9">
            <w:pPr>
              <w:rPr>
                <w:sz w:val="24"/>
                <w:szCs w:val="24"/>
              </w:rPr>
            </w:pPr>
            <w:r w:rsidDel="00000000" w:rsidR="00000000" w:rsidRPr="00000000">
              <w:rPr>
                <w:rFonts w:ascii="Arial" w:cs="Arial" w:eastAsia="Arial" w:hAnsi="Arial"/>
                <w:color w:val="000000"/>
                <w:sz w:val="22"/>
                <w:szCs w:val="22"/>
                <w:rtl w:val="0"/>
              </w:rPr>
              <w:t xml:space="preserve">6:00-12:00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rPr>
                <w:sz w:val="24"/>
                <w:szCs w:val="24"/>
              </w:rPr>
            </w:pPr>
            <w:r w:rsidDel="00000000" w:rsidR="00000000" w:rsidRPr="00000000">
              <w:rPr>
                <w:rFonts w:ascii="Arial" w:cs="Arial" w:eastAsia="Arial" w:hAnsi="Arial"/>
                <w:color w:val="000000"/>
                <w:sz w:val="22"/>
                <w:szCs w:val="22"/>
                <w:rtl w:val="0"/>
              </w:rPr>
              <w:t xml:space="preserve">50-100mm</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rPr>
                <w:sz w:val="24"/>
                <w:szCs w:val="24"/>
              </w:rPr>
            </w:pPr>
            <w:r w:rsidDel="00000000" w:rsidR="00000000" w:rsidRPr="00000000">
              <w:rPr>
                <w:rFonts w:ascii="Arial" w:cs="Arial" w:eastAsia="Arial" w:hAnsi="Arial"/>
                <w:color w:val="000000"/>
                <w:sz w:val="22"/>
                <w:szCs w:val="22"/>
                <w:rtl w:val="0"/>
              </w:rPr>
              <w:t xml:space="preserve">Low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sz w:val="24"/>
                <w:szCs w:val="24"/>
              </w:rPr>
            </w:pPr>
            <w:r w:rsidDel="00000000" w:rsidR="00000000" w:rsidRPr="00000000">
              <w:rPr>
                <w:rFonts w:ascii="Arial" w:cs="Arial" w:eastAsia="Arial" w:hAnsi="Arial"/>
                <w:color w:val="000000"/>
                <w:sz w:val="22"/>
                <w:szCs w:val="22"/>
                <w:rtl w:val="0"/>
              </w:rPr>
              <w:t xml:space="preserve">B: Mei-yu frontal precipitation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rPr>
                <w:sz w:val="24"/>
                <w:szCs w:val="24"/>
              </w:rPr>
            </w:pPr>
            <w:r w:rsidDel="00000000" w:rsidR="00000000" w:rsidRPr="00000000">
              <w:rPr>
                <w:rFonts w:ascii="Arial" w:cs="Arial" w:eastAsia="Arial" w:hAnsi="Arial"/>
                <w:color w:val="000000"/>
                <w:sz w:val="22"/>
                <w:szCs w:val="22"/>
                <w:rtl w:val="0"/>
              </w:rPr>
              <w:t xml:space="preserve">30-90mm</w:t>
            </w:r>
            <w:r w:rsidDel="00000000" w:rsidR="00000000" w:rsidRPr="00000000">
              <w:rPr>
                <w:rtl w:val="0"/>
              </w:rPr>
            </w:r>
          </w:p>
        </w:tc>
      </w:tr>
    </w:tbl>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Pr>
        <w:drawing>
          <wp:inline distB="0" distT="0" distL="0" distR="0">
            <wp:extent cx="2039000" cy="2519412"/>
            <wp:effectExtent b="0" l="0" r="0" t="0"/>
            <wp:docPr id="1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039000" cy="251941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393700</wp:posOffset>
                </wp:positionV>
                <wp:extent cx="974826" cy="1184188"/>
                <wp:effectExtent b="0" l="0" r="0" t="0"/>
                <wp:wrapNone/>
                <wp:docPr id="3" name=""/>
                <a:graphic>
                  <a:graphicData uri="http://schemas.microsoft.com/office/word/2010/wordprocessingShape">
                    <wps:wsp>
                      <wps:cNvSpPr/>
                      <wps:cNvPr id="4" name="Shape 4"/>
                      <wps:spPr>
                        <a:xfrm rot="-3347921">
                          <a:off x="4772752" y="3594684"/>
                          <a:ext cx="1146496" cy="370632"/>
                        </a:xfrm>
                        <a:prstGeom prst="rect">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393700</wp:posOffset>
                </wp:positionV>
                <wp:extent cx="974826" cy="1184188"/>
                <wp:effectExtent b="0" l="0" r="0" t="0"/>
                <wp:wrapNone/>
                <wp:docPr id="3"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974826" cy="11841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228600</wp:posOffset>
                </wp:positionV>
                <wp:extent cx="452797" cy="423933"/>
                <wp:effectExtent b="0" l="0" r="0" t="0"/>
                <wp:wrapNone/>
                <wp:docPr id="2" name=""/>
                <a:graphic>
                  <a:graphicData uri="http://schemas.microsoft.com/office/word/2010/wordprocessingShape">
                    <wps:wsp>
                      <wps:cNvSpPr/>
                      <wps:cNvPr id="3" name="Shape 3"/>
                      <wps:spPr>
                        <a:xfrm rot="-3487792">
                          <a:off x="5212124" y="3603941"/>
                          <a:ext cx="267752" cy="35211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228600</wp:posOffset>
                </wp:positionV>
                <wp:extent cx="452797" cy="423933"/>
                <wp:effectExtent b="0" l="0" r="0" t="0"/>
                <wp:wrapNone/>
                <wp:docPr id="2"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452797" cy="423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114300</wp:posOffset>
                </wp:positionV>
                <wp:extent cx="1073696" cy="882961"/>
                <wp:effectExtent b="0" l="0" r="0" t="0"/>
                <wp:wrapNone/>
                <wp:docPr id="6" name=""/>
                <a:graphic>
                  <a:graphicData uri="http://schemas.microsoft.com/office/word/2010/wordprocessingShape">
                    <wps:wsp>
                      <wps:cNvSpPr/>
                      <wps:cNvPr id="7" name="Shape 7"/>
                      <wps:spPr>
                        <a:xfrm>
                          <a:off x="4818677" y="3348045"/>
                          <a:ext cx="1054646" cy="863911"/>
                        </a:xfrm>
                        <a:prstGeom prst="rect">
                          <a:avLst/>
                        </a:prstGeom>
                        <a:noFill/>
                        <a:ln cap="flat" cmpd="sng" w="1905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114300</wp:posOffset>
                </wp:positionV>
                <wp:extent cx="1073696" cy="882961"/>
                <wp:effectExtent b="0" l="0" r="0" t="0"/>
                <wp:wrapNone/>
                <wp:docPr id="6"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1073696" cy="88296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774700</wp:posOffset>
                </wp:positionV>
                <wp:extent cx="277277" cy="361644"/>
                <wp:effectExtent b="0" l="0" r="0" t="0"/>
                <wp:wrapNone/>
                <wp:docPr id="4" name=""/>
                <a:graphic>
                  <a:graphicData uri="http://schemas.microsoft.com/office/word/2010/wordprocessingShape">
                    <wps:wsp>
                      <wps:cNvSpPr/>
                      <wps:cNvPr id="5" name="Shape 5"/>
                      <wps:spPr>
                        <a:xfrm>
                          <a:off x="5212124" y="3603941"/>
                          <a:ext cx="267752" cy="35211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c00000"/>
                                <w:sz w:val="20"/>
                                <w:vertAlign w:val="baseline"/>
                              </w:rPr>
                              <w:t xml:space="preserve">B</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774700</wp:posOffset>
                </wp:positionV>
                <wp:extent cx="277277" cy="361644"/>
                <wp:effectExtent b="0" l="0" r="0" t="0"/>
                <wp:wrapNone/>
                <wp:docPr id="4"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277277" cy="361644"/>
                        </a:xfrm>
                        <a:prstGeom prst="rect"/>
                        <a:ln/>
                      </pic:spPr>
                    </pic:pic>
                  </a:graphicData>
                </a:graphic>
              </wp:anchor>
            </w:drawing>
          </mc:Fallback>
        </mc:AlternateContent>
      </w:r>
    </w:p>
    <w:p w:rsidR="00000000" w:rsidDel="00000000" w:rsidP="00000000" w:rsidRDefault="00000000" w:rsidRPr="00000000" w14:paraId="00000031">
      <w:pPr>
        <w:jc w:val="both"/>
        <w:rPr>
          <w:b w:val="1"/>
          <w:sz w:val="24"/>
          <w:szCs w:val="24"/>
        </w:rPr>
      </w:pPr>
      <w:r w:rsidDel="00000000" w:rsidR="00000000" w:rsidRPr="00000000">
        <w:rPr>
          <w:b w:val="1"/>
          <w:sz w:val="24"/>
          <w:szCs w:val="24"/>
          <w:rtl w:val="0"/>
        </w:rPr>
        <w:t xml:space="preserve">Day 3:</w:t>
      </w:r>
    </w:p>
    <w:tbl>
      <w:tblPr>
        <w:tblStyle w:val="Table3"/>
        <w:tblW w:w="8371.0" w:type="dxa"/>
        <w:jc w:val="left"/>
        <w:tblInd w:w="0.0" w:type="dxa"/>
        <w:tblLayout w:type="fixed"/>
        <w:tblLook w:val="0400"/>
      </w:tblPr>
      <w:tblGrid>
        <w:gridCol w:w="1313"/>
        <w:gridCol w:w="3050"/>
        <w:gridCol w:w="2181"/>
        <w:gridCol w:w="1827"/>
        <w:tblGridChange w:id="0">
          <w:tblGrid>
            <w:gridCol w:w="1313"/>
            <w:gridCol w:w="3050"/>
            <w:gridCol w:w="2181"/>
            <w:gridCol w:w="1827"/>
          </w:tblGrid>
        </w:tblGridChange>
      </w:tblGrid>
      <w:t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32">
            <w:pPr>
              <w:rPr>
                <w:sz w:val="24"/>
                <w:szCs w:val="24"/>
              </w:rPr>
            </w:pPr>
            <w:r w:rsidDel="00000000" w:rsidR="00000000" w:rsidRPr="00000000">
              <w:rPr>
                <w:rFonts w:ascii="Arial" w:cs="Arial" w:eastAsia="Arial" w:hAnsi="Arial"/>
                <w:color w:val="000000"/>
                <w:sz w:val="22"/>
                <w:szCs w:val="22"/>
                <w:rtl w:val="0"/>
              </w:rPr>
              <w:t xml:space="preserve">Confidence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33">
            <w:pPr>
              <w:rPr>
                <w:sz w:val="24"/>
                <w:szCs w:val="24"/>
              </w:rPr>
            </w:pPr>
            <w:r w:rsidDel="00000000" w:rsidR="00000000" w:rsidRPr="00000000">
              <w:rPr>
                <w:rFonts w:ascii="Arial" w:cs="Arial" w:eastAsia="Arial" w:hAnsi="Arial"/>
                <w:color w:val="000000"/>
                <w:sz w:val="22"/>
                <w:szCs w:val="22"/>
                <w:rtl w:val="0"/>
              </w:rPr>
              <w:t xml:space="preserve">Area and phenomenon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34">
            <w:pPr>
              <w:rPr>
                <w:sz w:val="24"/>
                <w:szCs w:val="24"/>
              </w:rPr>
            </w:pPr>
            <w:r w:rsidDel="00000000" w:rsidR="00000000" w:rsidRPr="00000000">
              <w:rPr>
                <w:rFonts w:ascii="Arial" w:cs="Arial" w:eastAsia="Arial" w:hAnsi="Arial"/>
                <w:color w:val="000000"/>
                <w:sz w:val="22"/>
                <w:szCs w:val="22"/>
                <w:rtl w:val="0"/>
              </w:rPr>
              <w:t xml:space="preserve">Possible time period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35">
            <w:pPr>
              <w:rPr>
                <w:sz w:val="24"/>
                <w:szCs w:val="24"/>
              </w:rPr>
            </w:pPr>
            <w:r w:rsidDel="00000000" w:rsidR="00000000" w:rsidRPr="00000000">
              <w:rPr>
                <w:rFonts w:ascii="Arial" w:cs="Arial" w:eastAsia="Arial" w:hAnsi="Arial"/>
                <w:color w:val="000000"/>
                <w:sz w:val="22"/>
                <w:szCs w:val="22"/>
                <w:rtl w:val="0"/>
              </w:rPr>
              <w:t xml:space="preserve">Rainfall estimate</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rPr>
                <w:sz w:val="24"/>
                <w:szCs w:val="24"/>
              </w:rPr>
            </w:pPr>
            <w:r w:rsidDel="00000000" w:rsidR="00000000" w:rsidRPr="00000000">
              <w:rPr>
                <w:rFonts w:ascii="Arial" w:cs="Arial" w:eastAsia="Arial" w:hAnsi="Arial"/>
                <w:color w:val="000000"/>
                <w:sz w:val="22"/>
                <w:szCs w:val="22"/>
                <w:rtl w:val="0"/>
              </w:rPr>
              <w:t xml:space="preserve">High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rPr>
                <w:sz w:val="24"/>
                <w:szCs w:val="24"/>
              </w:rPr>
            </w:pPr>
            <w:r w:rsidDel="00000000" w:rsidR="00000000" w:rsidRPr="00000000">
              <w:rPr>
                <w:rFonts w:ascii="Arial" w:cs="Arial" w:eastAsia="Arial" w:hAnsi="Arial"/>
                <w:color w:val="000000"/>
                <w:sz w:val="22"/>
                <w:szCs w:val="22"/>
                <w:rtl w:val="0"/>
              </w:rPr>
              <w:t xml:space="preserve">A: Afternoon Thunderstorms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rPr>
                <w:sz w:val="24"/>
                <w:szCs w:val="24"/>
              </w:rPr>
            </w:pPr>
            <w:r w:rsidDel="00000000" w:rsidR="00000000" w:rsidRPr="00000000">
              <w:rPr>
                <w:rFonts w:ascii="Arial" w:cs="Arial" w:eastAsia="Arial" w:hAnsi="Arial"/>
                <w:color w:val="000000"/>
                <w:sz w:val="22"/>
                <w:szCs w:val="22"/>
                <w:rtl w:val="0"/>
              </w:rPr>
              <w:t xml:space="preserve">6:00-12:00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rPr>
                <w:sz w:val="24"/>
                <w:szCs w:val="24"/>
              </w:rPr>
            </w:pPr>
            <w:r w:rsidDel="00000000" w:rsidR="00000000" w:rsidRPr="00000000">
              <w:rPr>
                <w:rFonts w:ascii="Arial" w:cs="Arial" w:eastAsia="Arial" w:hAnsi="Arial"/>
                <w:color w:val="000000"/>
                <w:sz w:val="22"/>
                <w:szCs w:val="22"/>
                <w:rtl w:val="0"/>
              </w:rPr>
              <w:t xml:space="preserve">50-100mm</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rPr>
                <w:sz w:val="24"/>
                <w:szCs w:val="24"/>
              </w:rPr>
            </w:pPr>
            <w:r w:rsidDel="00000000" w:rsidR="00000000" w:rsidRPr="00000000">
              <w:rPr>
                <w:rFonts w:ascii="Arial" w:cs="Arial" w:eastAsia="Arial" w:hAnsi="Arial"/>
                <w:color w:val="000000"/>
                <w:sz w:val="22"/>
                <w:szCs w:val="22"/>
                <w:rtl w:val="0"/>
              </w:rPr>
              <w:t xml:space="preserve">Moderate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rPr>
                <w:sz w:val="24"/>
                <w:szCs w:val="24"/>
              </w:rPr>
            </w:pPr>
            <w:r w:rsidDel="00000000" w:rsidR="00000000" w:rsidRPr="00000000">
              <w:rPr>
                <w:rFonts w:ascii="Arial" w:cs="Arial" w:eastAsia="Arial" w:hAnsi="Arial"/>
                <w:color w:val="000000"/>
                <w:sz w:val="22"/>
                <w:szCs w:val="22"/>
                <w:rtl w:val="0"/>
              </w:rPr>
              <w:t xml:space="preserve">B: Mei-yu frontal precipitation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rPr>
                <w:sz w:val="24"/>
                <w:szCs w:val="24"/>
              </w:rPr>
            </w:pPr>
            <w:r w:rsidDel="00000000" w:rsidR="00000000" w:rsidRPr="00000000">
              <w:rPr>
                <w:rFonts w:ascii="Arial" w:cs="Arial" w:eastAsia="Arial" w:hAnsi="Arial"/>
                <w:color w:val="000000"/>
                <w:sz w:val="22"/>
                <w:szCs w:val="22"/>
                <w:rtl w:val="0"/>
              </w:rPr>
              <w:t xml:space="preserve">00:00-24:00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rPr>
                <w:sz w:val="24"/>
                <w:szCs w:val="24"/>
              </w:rPr>
            </w:pPr>
            <w:r w:rsidDel="00000000" w:rsidR="00000000" w:rsidRPr="00000000">
              <w:rPr>
                <w:rFonts w:ascii="Arial" w:cs="Arial" w:eastAsia="Arial" w:hAnsi="Arial"/>
                <w:color w:val="000000"/>
                <w:sz w:val="22"/>
                <w:szCs w:val="22"/>
                <w:rtl w:val="0"/>
              </w:rPr>
              <w:t xml:space="preserve">30-150mm</w:t>
            </w:r>
            <w:r w:rsidDel="00000000" w:rsidR="00000000" w:rsidRPr="00000000">
              <w:rPr>
                <w:rtl w:val="0"/>
              </w:rPr>
            </w:r>
          </w:p>
        </w:tc>
      </w:tr>
    </w:tbl>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Pr>
        <w:drawing>
          <wp:inline distB="0" distT="0" distL="0" distR="0">
            <wp:extent cx="2566497" cy="3163035"/>
            <wp:effectExtent b="0" l="0" r="0" t="0"/>
            <wp:docPr id="12"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566497" cy="31630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762000</wp:posOffset>
                </wp:positionV>
                <wp:extent cx="1251961" cy="1500672"/>
                <wp:effectExtent b="0" l="0" r="0" t="0"/>
                <wp:wrapNone/>
                <wp:docPr id="7" name=""/>
                <a:graphic>
                  <a:graphicData uri="http://schemas.microsoft.com/office/word/2010/wordprocessingShape">
                    <wps:wsp>
                      <wps:cNvSpPr/>
                      <wps:cNvPr id="8" name="Shape 8"/>
                      <wps:spPr>
                        <a:xfrm rot="-3347921">
                          <a:off x="4629395" y="3524237"/>
                          <a:ext cx="1433210" cy="511527"/>
                        </a:xfrm>
                        <a:prstGeom prst="rect">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762000</wp:posOffset>
                </wp:positionV>
                <wp:extent cx="1251961" cy="1500672"/>
                <wp:effectExtent b="0" l="0" r="0" t="0"/>
                <wp:wrapNone/>
                <wp:docPr id="7"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1251961" cy="150067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622300</wp:posOffset>
                </wp:positionV>
                <wp:extent cx="452797" cy="423933"/>
                <wp:effectExtent b="0" l="0" r="0" t="0"/>
                <wp:wrapNone/>
                <wp:docPr id="9" name=""/>
                <a:graphic>
                  <a:graphicData uri="http://schemas.microsoft.com/office/word/2010/wordprocessingShape">
                    <wps:wsp>
                      <wps:cNvSpPr/>
                      <wps:cNvPr id="10" name="Shape 10"/>
                      <wps:spPr>
                        <a:xfrm rot="-3487792">
                          <a:off x="5212124" y="3603941"/>
                          <a:ext cx="267752" cy="35211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622300</wp:posOffset>
                </wp:positionV>
                <wp:extent cx="452797" cy="423933"/>
                <wp:effectExtent b="0" l="0" r="0" t="0"/>
                <wp:wrapNone/>
                <wp:docPr id="9"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452797" cy="423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1854200</wp:posOffset>
                </wp:positionH>
                <wp:positionV relativeFrom="paragraph">
                  <wp:posOffset>228600</wp:posOffset>
                </wp:positionV>
                <wp:extent cx="1601519" cy="1790106"/>
                <wp:effectExtent b="0" l="0" r="0" t="0"/>
                <wp:wrapNone/>
                <wp:docPr id="10" name=""/>
                <a:graphic>
                  <a:graphicData uri="http://schemas.microsoft.com/office/word/2010/wordprocessingShape">
                    <wps:wsp>
                      <wps:cNvSpPr/>
                      <wps:cNvPr id="11" name="Shape 11"/>
                      <wps:spPr>
                        <a:xfrm rot="-3187462">
                          <a:off x="4535382" y="3395601"/>
                          <a:ext cx="1621237" cy="768799"/>
                        </a:xfrm>
                        <a:prstGeom prst="rect">
                          <a:avLst/>
                        </a:prstGeom>
                        <a:noFill/>
                        <a:ln cap="flat" cmpd="sng" w="19050">
                          <a:solidFill>
                            <a:srgbClr val="C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1854200</wp:posOffset>
                </wp:positionH>
                <wp:positionV relativeFrom="paragraph">
                  <wp:posOffset>228600</wp:posOffset>
                </wp:positionV>
                <wp:extent cx="1601519" cy="1790106"/>
                <wp:effectExtent b="0" l="0" r="0" t="0"/>
                <wp:wrapNone/>
                <wp:docPr id="10"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1601519" cy="179010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1206500</wp:posOffset>
                </wp:positionV>
                <wp:extent cx="455688" cy="441147"/>
                <wp:effectExtent b="0" l="0" r="0" t="0"/>
                <wp:wrapNone/>
                <wp:docPr id="5" name=""/>
                <a:graphic>
                  <a:graphicData uri="http://schemas.microsoft.com/office/word/2010/wordprocessingShape">
                    <wps:wsp>
                      <wps:cNvSpPr/>
                      <wps:cNvPr id="6" name="Shape 6"/>
                      <wps:spPr>
                        <a:xfrm rot="-3068856">
                          <a:off x="5212124" y="3603941"/>
                          <a:ext cx="267752" cy="35211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c00000"/>
                                <w:sz w:val="20"/>
                                <w:vertAlign w:val="baseline"/>
                              </w:rPr>
                              <w:t xml:space="preserve">B</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1206500</wp:posOffset>
                </wp:positionV>
                <wp:extent cx="455688" cy="441147"/>
                <wp:effectExtent b="0" l="0" r="0" t="0"/>
                <wp:wrapNone/>
                <wp:docPr id="5"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455688" cy="441147"/>
                        </a:xfrm>
                        <a:prstGeom prst="rect"/>
                        <a:ln/>
                      </pic:spPr>
                    </pic:pic>
                  </a:graphicData>
                </a:graphic>
              </wp:anchor>
            </w:drawing>
          </mc:Fallback>
        </mc:AlternateConten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jc w:val="center"/>
        <w:rPr>
          <w:sz w:val="24"/>
          <w:szCs w:val="24"/>
        </w:rPr>
      </w:pPr>
      <w:r w:rsidDel="00000000" w:rsidR="00000000" w:rsidRPr="00000000">
        <w:rPr>
          <w:sz w:val="24"/>
          <w:szCs w:val="24"/>
        </w:rPr>
        <w:drawing>
          <wp:inline distB="0" distT="0" distL="0" distR="0">
            <wp:extent cx="2068862" cy="2068862"/>
            <wp:effectExtent b="0" l="0" r="0" t="0"/>
            <wp:docPr id="15"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2068862" cy="206886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rtl w:val="0"/>
        </w:rPr>
      </w:r>
    </w:p>
    <w:bookmarkStart w:colFirst="0" w:colLast="0" w:name="1fob9te" w:id="2"/>
    <w:bookmarkEnd w:id="2"/>
    <w:bookmarkStart w:colFirst="0" w:colLast="0" w:name="3znysh7" w:id="3"/>
    <w:bookmarkEnd w:id="3"/>
    <w:p w:rsidR="00000000" w:rsidDel="00000000" w:rsidP="00000000" w:rsidRDefault="00000000" w:rsidRPr="00000000" w14:paraId="00000041">
      <w:pPr>
        <w:jc w:val="both"/>
        <w:rPr>
          <w:sz w:val="24"/>
          <w:szCs w:val="24"/>
        </w:rPr>
      </w:pPr>
      <w:r w:rsidDel="00000000" w:rsidR="00000000" w:rsidRPr="00000000">
        <w:rPr>
          <w:b w:val="1"/>
          <w:sz w:val="24"/>
          <w:szCs w:val="24"/>
          <w:rtl w:val="0"/>
        </w:rPr>
        <w:t xml:space="preserve">Figure 1. </w:t>
      </w:r>
      <w:bookmarkStart w:colFirst="0" w:colLast="0" w:name="2et92p0" w:id="4"/>
      <w:bookmarkEnd w:id="4"/>
      <w:bookmarkStart w:colFirst="0" w:colLast="0" w:name="tyjcwt" w:id="5"/>
      <w:bookmarkEnd w:id="5"/>
      <w:r w:rsidDel="00000000" w:rsidR="00000000" w:rsidRPr="00000000">
        <w:rPr>
          <w:sz w:val="24"/>
          <w:szCs w:val="24"/>
          <w:rtl w:val="0"/>
        </w:rPr>
        <w:t xml:space="preserve">Himawari-8 visible channel imagery (shading) valid at 00 UTC 5 June 2020.</w:t>
      </w:r>
    </w:p>
    <w:p w:rsidR="00000000" w:rsidDel="00000000" w:rsidP="00000000" w:rsidRDefault="00000000" w:rsidRPr="00000000" w14:paraId="00000042">
      <w:pPr>
        <w:jc w:val="both"/>
        <w:rPr>
          <w:sz w:val="24"/>
          <w:szCs w:val="24"/>
        </w:rPr>
      </w:pPr>
      <w:r w:rsidDel="00000000" w:rsidR="00000000" w:rsidRPr="00000000">
        <w:rPr>
          <w:rtl w:val="0"/>
        </w:rPr>
      </w:r>
    </w:p>
    <w:p w:rsidR="00000000" w:rsidDel="00000000" w:rsidP="00000000" w:rsidRDefault="00000000" w:rsidRPr="00000000" w14:paraId="00000043">
      <w:pPr>
        <w:jc w:val="center"/>
        <w:rPr>
          <w:sz w:val="24"/>
          <w:szCs w:val="24"/>
        </w:rPr>
      </w:pPr>
      <w:r w:rsidDel="00000000" w:rsidR="00000000" w:rsidRPr="00000000">
        <w:rPr>
          <w:sz w:val="24"/>
          <w:szCs w:val="24"/>
        </w:rPr>
        <w:drawing>
          <wp:inline distB="0" distT="0" distL="0" distR="0">
            <wp:extent cx="3448590" cy="2104381"/>
            <wp:effectExtent b="0" l="0" r="0" t="0"/>
            <wp:docPr id="14"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3448590" cy="2104381"/>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jc w:val="both"/>
        <w:rPr>
          <w:sz w:val="24"/>
          <w:szCs w:val="24"/>
        </w:rPr>
      </w:pPr>
      <w:r w:rsidDel="00000000" w:rsidR="00000000" w:rsidRPr="00000000">
        <w:rPr>
          <w:b w:val="1"/>
          <w:sz w:val="24"/>
          <w:szCs w:val="24"/>
          <w:rtl w:val="0"/>
        </w:rPr>
        <w:t xml:space="preserve">Figure 2. </w:t>
      </w:r>
      <w:r w:rsidDel="00000000" w:rsidR="00000000" w:rsidRPr="00000000">
        <w:rPr>
          <w:sz w:val="24"/>
          <w:szCs w:val="24"/>
          <w:rtl w:val="0"/>
        </w:rPr>
        <w:t xml:space="preserve">EC 850 hPa wind (barbs) and precipitation (shading) valid at 06 UTC 6 June 2020.</w:t>
      </w:r>
    </w:p>
    <w:p w:rsidR="00000000" w:rsidDel="00000000" w:rsidP="00000000" w:rsidRDefault="00000000" w:rsidRPr="00000000" w14:paraId="00000046">
      <w:pPr>
        <w:jc w:val="both"/>
        <w:rPr>
          <w:sz w:val="24"/>
          <w:szCs w:val="24"/>
        </w:rPr>
      </w:pPr>
      <w:r w:rsidDel="00000000" w:rsidR="00000000" w:rsidRPr="00000000">
        <w:rPr>
          <w:rtl w:val="0"/>
        </w:rPr>
      </w:r>
    </w:p>
    <w:p w:rsidR="00000000" w:rsidDel="00000000" w:rsidP="00000000" w:rsidRDefault="00000000" w:rsidRPr="00000000" w14:paraId="00000047">
      <w:pPr>
        <w:jc w:val="center"/>
        <w:rPr>
          <w:sz w:val="24"/>
          <w:szCs w:val="24"/>
        </w:rPr>
      </w:pPr>
      <w:r w:rsidDel="00000000" w:rsidR="00000000" w:rsidRPr="00000000">
        <w:rPr>
          <w:sz w:val="24"/>
          <w:szCs w:val="24"/>
        </w:rPr>
        <w:drawing>
          <wp:inline distB="0" distT="0" distL="0" distR="0">
            <wp:extent cx="3430588" cy="2089081"/>
            <wp:effectExtent b="0" l="0" r="0" t="0"/>
            <wp:docPr id="17"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3430588" cy="2089081"/>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both"/>
        <w:rPr>
          <w:sz w:val="24"/>
          <w:szCs w:val="24"/>
        </w:rPr>
      </w:pPr>
      <w:r w:rsidDel="00000000" w:rsidR="00000000" w:rsidRPr="00000000">
        <w:rPr>
          <w:rtl w:val="0"/>
        </w:rPr>
      </w:r>
    </w:p>
    <w:p w:rsidR="00000000" w:rsidDel="00000000" w:rsidP="00000000" w:rsidRDefault="00000000" w:rsidRPr="00000000" w14:paraId="00000049">
      <w:pPr>
        <w:jc w:val="both"/>
        <w:rPr>
          <w:sz w:val="24"/>
          <w:szCs w:val="24"/>
        </w:rPr>
      </w:pPr>
      <w:r w:rsidDel="00000000" w:rsidR="00000000" w:rsidRPr="00000000">
        <w:rPr>
          <w:b w:val="1"/>
          <w:sz w:val="24"/>
          <w:szCs w:val="24"/>
          <w:rtl w:val="0"/>
        </w:rPr>
        <w:t xml:space="preserve">Figure 3. </w:t>
      </w:r>
      <w:r w:rsidDel="00000000" w:rsidR="00000000" w:rsidRPr="00000000">
        <w:rPr>
          <w:sz w:val="24"/>
          <w:szCs w:val="24"/>
          <w:rtl w:val="0"/>
        </w:rPr>
        <w:t xml:space="preserve">Same as Figure 2, but valid at 06 UTC 7 June 2020.</w:t>
      </w:r>
    </w:p>
    <w:p w:rsidR="00000000" w:rsidDel="00000000" w:rsidP="00000000" w:rsidRDefault="00000000" w:rsidRPr="00000000" w14:paraId="0000004A">
      <w:pPr>
        <w:jc w:val="both"/>
        <w:rPr>
          <w:sz w:val="24"/>
          <w:szCs w:val="24"/>
        </w:rPr>
      </w:pPr>
      <w:r w:rsidDel="00000000" w:rsidR="00000000" w:rsidRPr="00000000">
        <w:rPr>
          <w:rtl w:val="0"/>
        </w:rPr>
      </w:r>
    </w:p>
    <w:p w:rsidR="00000000" w:rsidDel="00000000" w:rsidP="00000000" w:rsidRDefault="00000000" w:rsidRPr="00000000" w14:paraId="0000004B">
      <w:pPr>
        <w:jc w:val="center"/>
        <w:rPr>
          <w:sz w:val="24"/>
          <w:szCs w:val="24"/>
        </w:rPr>
      </w:pPr>
      <w:r w:rsidDel="00000000" w:rsidR="00000000" w:rsidRPr="00000000">
        <w:rPr>
          <w:sz w:val="24"/>
          <w:szCs w:val="24"/>
        </w:rPr>
        <w:drawing>
          <wp:inline distB="0" distT="0" distL="0" distR="0">
            <wp:extent cx="3554782" cy="2159447"/>
            <wp:effectExtent b="0" l="0" r="0" t="0"/>
            <wp:docPr id="16"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3554782" cy="2159447"/>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both"/>
        <w:rPr>
          <w:b w:val="1"/>
          <w:sz w:val="24"/>
          <w:szCs w:val="24"/>
        </w:rPr>
      </w:pPr>
      <w:r w:rsidDel="00000000" w:rsidR="00000000" w:rsidRPr="00000000">
        <w:rPr>
          <w:rtl w:val="0"/>
        </w:rPr>
      </w:r>
    </w:p>
    <w:p w:rsidR="00000000" w:rsidDel="00000000" w:rsidP="00000000" w:rsidRDefault="00000000" w:rsidRPr="00000000" w14:paraId="0000004D">
      <w:pPr>
        <w:jc w:val="both"/>
        <w:rPr>
          <w:sz w:val="24"/>
          <w:szCs w:val="24"/>
        </w:rPr>
      </w:pPr>
      <w:r w:rsidDel="00000000" w:rsidR="00000000" w:rsidRPr="00000000">
        <w:rPr>
          <w:b w:val="1"/>
          <w:sz w:val="24"/>
          <w:szCs w:val="24"/>
          <w:rtl w:val="0"/>
        </w:rPr>
        <w:t xml:space="preserve">Figure 4. </w:t>
      </w:r>
      <w:r w:rsidDel="00000000" w:rsidR="00000000" w:rsidRPr="00000000">
        <w:rPr>
          <w:sz w:val="24"/>
          <w:szCs w:val="24"/>
          <w:rtl w:val="0"/>
        </w:rPr>
        <w:t xml:space="preserve">EC 500 hPa height (contours) and vorticity (shading) valid at 06 UTC 6 June 2020.</w:t>
      </w:r>
    </w:p>
    <w:p w:rsidR="00000000" w:rsidDel="00000000" w:rsidP="00000000" w:rsidRDefault="00000000" w:rsidRPr="00000000" w14:paraId="0000004E">
      <w:pPr>
        <w:jc w:val="both"/>
        <w:rPr>
          <w:sz w:val="24"/>
          <w:szCs w:val="24"/>
        </w:rPr>
      </w:pPr>
      <w:r w:rsidDel="00000000" w:rsidR="00000000" w:rsidRPr="00000000">
        <w:rPr>
          <w:rtl w:val="0"/>
        </w:rPr>
      </w:r>
    </w:p>
    <w:p w:rsidR="00000000" w:rsidDel="00000000" w:rsidP="00000000" w:rsidRDefault="00000000" w:rsidRPr="00000000" w14:paraId="0000004F">
      <w:pPr>
        <w:jc w:val="both"/>
        <w:rPr>
          <w:sz w:val="24"/>
          <w:szCs w:val="24"/>
        </w:rPr>
      </w:pPr>
      <w:r w:rsidDel="00000000" w:rsidR="00000000" w:rsidRPr="00000000">
        <w:rPr>
          <w:rtl w:val="0"/>
        </w:rPr>
      </w:r>
    </w:p>
    <w:p w:rsidR="00000000" w:rsidDel="00000000" w:rsidP="00000000" w:rsidRDefault="00000000" w:rsidRPr="00000000" w14:paraId="00000050">
      <w:pPr>
        <w:jc w:val="center"/>
        <w:rPr>
          <w:sz w:val="24"/>
          <w:szCs w:val="24"/>
        </w:rPr>
      </w:pPr>
      <w:r w:rsidDel="00000000" w:rsidR="00000000" w:rsidRPr="00000000">
        <w:rPr>
          <w:sz w:val="24"/>
          <w:szCs w:val="24"/>
        </w:rPr>
        <w:drawing>
          <wp:inline distB="0" distT="0" distL="0" distR="0">
            <wp:extent cx="3689085" cy="2255950"/>
            <wp:effectExtent b="0" l="0" r="0" t="0"/>
            <wp:docPr id="19"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3689085" cy="225595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sz w:val="24"/>
          <w:szCs w:val="24"/>
        </w:rPr>
      </w:pPr>
      <w:r w:rsidDel="00000000" w:rsidR="00000000" w:rsidRPr="00000000">
        <w:rPr>
          <w:b w:val="1"/>
          <w:sz w:val="24"/>
          <w:szCs w:val="24"/>
          <w:rtl w:val="0"/>
        </w:rPr>
        <w:t xml:space="preserve">Figure 5. </w:t>
      </w:r>
      <w:r w:rsidDel="00000000" w:rsidR="00000000" w:rsidRPr="00000000">
        <w:rPr>
          <w:sz w:val="24"/>
          <w:szCs w:val="24"/>
          <w:rtl w:val="0"/>
        </w:rPr>
        <w:t xml:space="preserve">Same as Figure 4, but valid at 06 UTC 7 June 2020.</w:t>
      </w:r>
    </w:p>
    <w:p w:rsidR="00000000" w:rsidDel="00000000" w:rsidP="00000000" w:rsidRDefault="00000000" w:rsidRPr="00000000" w14:paraId="00000053">
      <w:pPr>
        <w:jc w:val="both"/>
        <w:rPr>
          <w:sz w:val="24"/>
          <w:szCs w:val="24"/>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drawing>
          <wp:inline distB="0" distT="0" distL="0" distR="0">
            <wp:extent cx="4400539" cy="2704837"/>
            <wp:effectExtent b="0" l="0" r="0" t="0"/>
            <wp:docPr id="18"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4400539" cy="2704837"/>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sz w:val="24"/>
          <w:szCs w:val="24"/>
        </w:rPr>
      </w:pPr>
      <w:r w:rsidDel="00000000" w:rsidR="00000000" w:rsidRPr="00000000">
        <w:rPr>
          <w:b w:val="1"/>
          <w:sz w:val="24"/>
          <w:szCs w:val="24"/>
          <w:rtl w:val="0"/>
        </w:rPr>
        <w:t xml:space="preserve">Figure 6. </w:t>
      </w:r>
      <w:r w:rsidDel="00000000" w:rsidR="00000000" w:rsidRPr="00000000">
        <w:rPr>
          <w:sz w:val="24"/>
          <w:szCs w:val="24"/>
          <w:rtl w:val="0"/>
        </w:rPr>
        <w:t xml:space="preserve">Upper row: (left) NCEP mean level sea pressure (contours), 850 hPa wind (barbs) and 6-h accumulated precipitation (shading) valid at 06 UTC 6 June 2020. (right) NCEP 850 wind (barbs), wind speed (shading), and equivalent potential temperature (contours) valid at 06 UTC 6 June 2020. Lower row: (left) NCEP 500 hPa wind (barbs), height (contours) and vorticity (shading) valid at 06 UTC 6 June 2020. (right) NCEP 1000-850 hPa moisture transport magnitude (shading) and direction (arrows) at 06 UTC 6 June 2020.</w:t>
      </w:r>
    </w:p>
    <w:p w:rsidR="00000000" w:rsidDel="00000000" w:rsidP="00000000" w:rsidRDefault="00000000" w:rsidRPr="00000000" w14:paraId="00000057">
      <w:pPr>
        <w:jc w:val="both"/>
        <w:rPr>
          <w:sz w:val="24"/>
          <w:szCs w:val="24"/>
        </w:rPr>
      </w:pPr>
      <w:r w:rsidDel="00000000" w:rsidR="00000000" w:rsidRPr="00000000">
        <w:rPr>
          <w:rtl w:val="0"/>
        </w:rPr>
      </w:r>
    </w:p>
    <w:p w:rsidR="00000000" w:rsidDel="00000000" w:rsidP="00000000" w:rsidRDefault="00000000" w:rsidRPr="00000000" w14:paraId="00000058">
      <w:pPr>
        <w:jc w:val="center"/>
        <w:rPr>
          <w:sz w:val="24"/>
          <w:szCs w:val="24"/>
        </w:rPr>
      </w:pPr>
      <w:r w:rsidDel="00000000" w:rsidR="00000000" w:rsidRPr="00000000">
        <w:rPr>
          <w:sz w:val="24"/>
          <w:szCs w:val="24"/>
        </w:rPr>
        <w:drawing>
          <wp:inline distB="0" distT="0" distL="0" distR="0">
            <wp:extent cx="4494157" cy="2726113"/>
            <wp:effectExtent b="0" l="0" r="0" t="0"/>
            <wp:docPr id="22"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4494157" cy="2726113"/>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jc w:val="both"/>
        <w:rPr>
          <w:sz w:val="24"/>
          <w:szCs w:val="24"/>
        </w:rPr>
      </w:pPr>
      <w:r w:rsidDel="00000000" w:rsidR="00000000" w:rsidRPr="00000000">
        <w:rPr>
          <w:rtl w:val="0"/>
        </w:rPr>
      </w:r>
    </w:p>
    <w:p w:rsidR="00000000" w:rsidDel="00000000" w:rsidP="00000000" w:rsidRDefault="00000000" w:rsidRPr="00000000" w14:paraId="0000005A">
      <w:pPr>
        <w:jc w:val="both"/>
        <w:rPr>
          <w:sz w:val="24"/>
          <w:szCs w:val="24"/>
        </w:rPr>
      </w:pPr>
      <w:r w:rsidDel="00000000" w:rsidR="00000000" w:rsidRPr="00000000">
        <w:rPr>
          <w:b w:val="1"/>
          <w:sz w:val="24"/>
          <w:szCs w:val="24"/>
          <w:rtl w:val="0"/>
        </w:rPr>
        <w:t xml:space="preserve">Figure 7. </w:t>
      </w:r>
      <w:r w:rsidDel="00000000" w:rsidR="00000000" w:rsidRPr="00000000">
        <w:rPr>
          <w:sz w:val="24"/>
          <w:szCs w:val="24"/>
          <w:rtl w:val="0"/>
        </w:rPr>
        <w:t xml:space="preserve">Same as Figure 6, but valid at 06 UTC 7 June 2020.</w:t>
      </w:r>
    </w:p>
    <w:p w:rsidR="00000000" w:rsidDel="00000000" w:rsidP="00000000" w:rsidRDefault="00000000" w:rsidRPr="00000000" w14:paraId="0000005B">
      <w:pPr>
        <w:jc w:val="both"/>
        <w:rPr>
          <w:sz w:val="24"/>
          <w:szCs w:val="24"/>
        </w:rPr>
      </w:pPr>
      <w:r w:rsidDel="00000000" w:rsidR="00000000" w:rsidRPr="00000000">
        <w:rPr>
          <w:rtl w:val="0"/>
        </w:rPr>
      </w:r>
    </w:p>
    <w:p w:rsidR="00000000" w:rsidDel="00000000" w:rsidP="00000000" w:rsidRDefault="00000000" w:rsidRPr="00000000" w14:paraId="0000005C">
      <w:pPr>
        <w:jc w:val="both"/>
        <w:rPr>
          <w:sz w:val="24"/>
          <w:szCs w:val="24"/>
        </w:rPr>
      </w:pPr>
      <w:r w:rsidDel="00000000" w:rsidR="00000000" w:rsidRPr="00000000">
        <w:rPr>
          <w:rtl w:val="0"/>
        </w:rPr>
      </w:r>
    </w:p>
    <w:p w:rsidR="00000000" w:rsidDel="00000000" w:rsidP="00000000" w:rsidRDefault="00000000" w:rsidRPr="00000000" w14:paraId="0000005D">
      <w:pPr>
        <w:jc w:val="both"/>
        <w:rPr>
          <w:sz w:val="24"/>
          <w:szCs w:val="24"/>
        </w:rPr>
      </w:pPr>
      <w:r w:rsidDel="00000000" w:rsidR="00000000" w:rsidRPr="00000000">
        <w:rPr>
          <w:rtl w:val="0"/>
        </w:rPr>
      </w:r>
    </w:p>
    <w:p w:rsidR="00000000" w:rsidDel="00000000" w:rsidP="00000000" w:rsidRDefault="00000000" w:rsidRPr="00000000" w14:paraId="0000005E">
      <w:pPr>
        <w:jc w:val="both"/>
        <w:rPr>
          <w:sz w:val="24"/>
          <w:szCs w:val="24"/>
        </w:rPr>
      </w:pPr>
      <w:r w:rsidDel="00000000" w:rsidR="00000000" w:rsidRPr="00000000">
        <w:rPr>
          <w:rtl w:val="0"/>
        </w:rPr>
      </w:r>
    </w:p>
    <w:p w:rsidR="00000000" w:rsidDel="00000000" w:rsidP="00000000" w:rsidRDefault="00000000" w:rsidRPr="00000000" w14:paraId="0000005F">
      <w:pPr>
        <w:jc w:val="both"/>
        <w:rPr>
          <w:sz w:val="24"/>
          <w:szCs w:val="24"/>
        </w:rPr>
      </w:pPr>
      <w:r w:rsidDel="00000000" w:rsidR="00000000" w:rsidRPr="00000000">
        <w:rPr>
          <w:rtl w:val="0"/>
        </w:rPr>
      </w:r>
    </w:p>
    <w:p w:rsidR="00000000" w:rsidDel="00000000" w:rsidP="00000000" w:rsidRDefault="00000000" w:rsidRPr="00000000" w14:paraId="00000060">
      <w:pPr>
        <w:jc w:val="both"/>
        <w:rPr>
          <w:sz w:val="24"/>
          <w:szCs w:val="24"/>
        </w:rPr>
      </w:pPr>
      <w:r w:rsidDel="00000000" w:rsidR="00000000" w:rsidRPr="00000000">
        <w:rPr>
          <w:sz w:val="24"/>
          <w:szCs w:val="24"/>
        </w:rPr>
        <w:drawing>
          <wp:inline distB="0" distT="0" distL="0" distR="0">
            <wp:extent cx="5943600" cy="2743835"/>
            <wp:effectExtent b="0" l="0" r="0" t="0"/>
            <wp:docPr id="20"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5943600" cy="274383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both"/>
        <w:rPr>
          <w:b w:val="1"/>
          <w:sz w:val="24"/>
          <w:szCs w:val="24"/>
        </w:rPr>
      </w:pPr>
      <w:r w:rsidDel="00000000" w:rsidR="00000000" w:rsidRPr="00000000">
        <w:rPr>
          <w:rtl w:val="0"/>
        </w:rPr>
      </w:r>
    </w:p>
    <w:p w:rsidR="00000000" w:rsidDel="00000000" w:rsidP="00000000" w:rsidRDefault="00000000" w:rsidRPr="00000000" w14:paraId="00000062">
      <w:pPr>
        <w:jc w:val="both"/>
        <w:rPr>
          <w:sz w:val="24"/>
          <w:szCs w:val="24"/>
        </w:rPr>
      </w:pPr>
      <w:r w:rsidDel="00000000" w:rsidR="00000000" w:rsidRPr="00000000">
        <w:rPr>
          <w:b w:val="1"/>
          <w:sz w:val="24"/>
          <w:szCs w:val="24"/>
          <w:rtl w:val="0"/>
        </w:rPr>
        <w:t xml:space="preserve">Figure 8. </w:t>
      </w:r>
      <w:r w:rsidDel="00000000" w:rsidR="00000000" w:rsidRPr="00000000">
        <w:rPr>
          <w:sz w:val="24"/>
          <w:szCs w:val="24"/>
          <w:rtl w:val="0"/>
        </w:rPr>
        <w:t xml:space="preserve">24-h accumulated rainfall QPFs for the EC model (first row), NCEP model (second row) and the WRFD model (third row) from 5 June 00 UTC to 12 June 00 UTC.</w:t>
      </w:r>
    </w:p>
    <w:p w:rsidR="00000000" w:rsidDel="00000000" w:rsidP="00000000" w:rsidRDefault="00000000" w:rsidRPr="00000000" w14:paraId="00000063">
      <w:pPr>
        <w:jc w:val="both"/>
        <w:rPr>
          <w:sz w:val="24"/>
          <w:szCs w:val="24"/>
        </w:rPr>
      </w:pPr>
      <w:r w:rsidDel="00000000" w:rsidR="00000000" w:rsidRPr="00000000">
        <w:rPr>
          <w:rtl w:val="0"/>
        </w:rPr>
      </w:r>
    </w:p>
    <w:p w:rsidR="00000000" w:rsidDel="00000000" w:rsidP="00000000" w:rsidRDefault="00000000" w:rsidRPr="00000000" w14:paraId="00000064">
      <w:pPr>
        <w:jc w:val="center"/>
        <w:rPr>
          <w:sz w:val="24"/>
          <w:szCs w:val="24"/>
        </w:rPr>
      </w:pPr>
      <w:r w:rsidDel="00000000" w:rsidR="00000000" w:rsidRPr="00000000">
        <w:rPr>
          <w:sz w:val="24"/>
          <w:szCs w:val="24"/>
        </w:rPr>
        <w:drawing>
          <wp:inline distB="0" distT="0" distL="0" distR="0">
            <wp:extent cx="4366255" cy="3514929"/>
            <wp:effectExtent b="0" l="0" r="0" t="0"/>
            <wp:docPr id="21" name="image18.jpg"/>
            <a:graphic>
              <a:graphicData uri="http://schemas.openxmlformats.org/drawingml/2006/picture">
                <pic:pic>
                  <pic:nvPicPr>
                    <pic:cNvPr id="0" name="image18.jpg"/>
                    <pic:cNvPicPr preferRelativeResize="0"/>
                  </pic:nvPicPr>
                  <pic:blipFill>
                    <a:blip r:embed="rId27"/>
                    <a:srcRect b="0" l="0" r="0" t="0"/>
                    <a:stretch>
                      <a:fillRect/>
                    </a:stretch>
                  </pic:blipFill>
                  <pic:spPr>
                    <a:xfrm>
                      <a:off x="0" y="0"/>
                      <a:ext cx="4366255" cy="3514929"/>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jc w:val="both"/>
        <w:rPr>
          <w:sz w:val="24"/>
          <w:szCs w:val="24"/>
        </w:rPr>
      </w:pPr>
      <w:r w:rsidDel="00000000" w:rsidR="00000000" w:rsidRPr="00000000">
        <w:rPr>
          <w:rtl w:val="0"/>
        </w:rPr>
      </w:r>
    </w:p>
    <w:p w:rsidR="00000000" w:rsidDel="00000000" w:rsidP="00000000" w:rsidRDefault="00000000" w:rsidRPr="00000000" w14:paraId="00000066">
      <w:pPr>
        <w:jc w:val="both"/>
        <w:rPr>
          <w:sz w:val="24"/>
          <w:szCs w:val="24"/>
        </w:rPr>
      </w:pPr>
      <w:bookmarkStart w:colFirst="0" w:colLast="0" w:name="_3dy6vkm" w:id="6"/>
      <w:bookmarkEnd w:id="6"/>
      <w:r w:rsidDel="00000000" w:rsidR="00000000" w:rsidRPr="00000000">
        <w:rPr>
          <w:b w:val="1"/>
          <w:sz w:val="24"/>
          <w:szCs w:val="24"/>
          <w:rtl w:val="0"/>
        </w:rPr>
        <w:t xml:space="preserve">Figure 9. </w:t>
      </w:r>
      <w:r w:rsidDel="00000000" w:rsidR="00000000" w:rsidRPr="00000000">
        <w:rPr>
          <w:sz w:val="24"/>
          <w:szCs w:val="24"/>
          <w:rtl w:val="0"/>
        </w:rPr>
        <w:t xml:space="preserve">Upper row: (left) NCEP 500 hPa height (contours) and vorticity (shading) valid at 12 UTC 8 June 2020. (right) EC 500 hPa height (contours) and vorticity (shading) valid at 12 UTC 8 June 2020. Lower row: (left) NCEP mean sea level pressure (contours) and 6-h accumulated precipitation (shading) valid at 12 UTC 8 June 2020. (right) EC mean sea level pressure (contours) and 6-h accumulated precipitation (shading) valid at 12 UTC 8 June 2020.</w:t>
      </w:r>
    </w:p>
    <w:p w:rsidR="00000000" w:rsidDel="00000000" w:rsidP="00000000" w:rsidRDefault="00000000" w:rsidRPr="00000000" w14:paraId="00000067">
      <w:pPr>
        <w:jc w:val="both"/>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21.png"/><Relationship Id="rId21" Type="http://schemas.openxmlformats.org/officeDocument/2006/relationships/image" Target="media/image17.png"/><Relationship Id="rId24" Type="http://schemas.openxmlformats.org/officeDocument/2006/relationships/image" Target="media/image19.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22.png"/><Relationship Id="rId25" Type="http://schemas.openxmlformats.org/officeDocument/2006/relationships/image" Target="media/image20.png"/><Relationship Id="rId27" Type="http://schemas.openxmlformats.org/officeDocument/2006/relationships/image" Target="media/image18.jp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png"/><Relationship Id="rId8" Type="http://schemas.openxmlformats.org/officeDocument/2006/relationships/image" Target="media/image13.png"/><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11.png"/><Relationship Id="rId17" Type="http://schemas.openxmlformats.org/officeDocument/2006/relationships/image" Target="media/image16.png"/><Relationship Id="rId16" Type="http://schemas.openxmlformats.org/officeDocument/2006/relationships/image" Target="media/image14.png"/><Relationship Id="rId19" Type="http://schemas.openxmlformats.org/officeDocument/2006/relationships/image" Target="media/image12.jp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