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widowControl w:val="0"/>
        <w:spacing w:line="276" w:lineRule="auto"/>
        <w:jc w:val="center"/>
        <w:rPr>
          <w:rFonts w:ascii="Times New Roman" w:cs="Times New Roman" w:eastAsia="Times New Roman" w:hAnsi="Times New Roman"/>
          <w:b w:val="1"/>
          <w:sz w:val="36"/>
          <w:szCs w:val="36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6"/>
          <w:szCs w:val="36"/>
          <w:rtl w:val="0"/>
        </w:rPr>
        <w:t xml:space="preserve">NoCOVID21/TAHOPE Weather Summary</w:t>
      </w:r>
    </w:p>
    <w:p w:rsidR="00000000" w:rsidDel="00000000" w:rsidP="00000000" w:rsidRDefault="00000000" w:rsidRPr="00000000" w14:paraId="00000002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Date(UTC):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2021/06/01  02:00</w:t>
      </w:r>
    </w:p>
    <w:p w:rsidR="00000000" w:rsidDel="00000000" w:rsidP="00000000" w:rsidRDefault="00000000" w:rsidRPr="00000000" w14:paraId="00000003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Author:蔡沛蓉、黃子珊、林怡萱、郭良裔、劉豪聯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Submitted at(UTC):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2021/06/01  08:00</w:t>
      </w:r>
    </w:p>
    <w:p w:rsidR="00000000" w:rsidDel="00000000" w:rsidP="00000000" w:rsidRDefault="00000000" w:rsidRPr="00000000" w14:paraId="00000005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color w:val="999999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999999"/>
          <w:sz w:val="24"/>
          <w:szCs w:val="24"/>
          <w:rtl w:val="0"/>
        </w:rPr>
        <w:t xml:space="preserve">Revised at(UTC):</w:t>
      </w:r>
    </w:p>
    <w:p w:rsidR="00000000" w:rsidDel="00000000" w:rsidP="00000000" w:rsidRDefault="00000000" w:rsidRPr="00000000" w14:paraId="00000006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color w:val="999999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1. 未來一周天氣</w:t>
      </w:r>
    </w:p>
    <w:p w:rsidR="00000000" w:rsidDel="00000000" w:rsidP="00000000" w:rsidRDefault="00000000" w:rsidRPr="00000000" w14:paraId="00000008">
      <w:pPr>
        <w:numPr>
          <w:ilvl w:val="0"/>
          <w:numId w:val="2"/>
        </w:numPr>
        <w:ind w:left="720" w:hanging="360"/>
        <w:rPr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一週概況 </w:t>
      </w: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(圖一)</w:t>
      </w:r>
    </w:p>
    <w:p w:rsidR="00000000" w:rsidDel="00000000" w:rsidP="00000000" w:rsidRDefault="00000000" w:rsidRPr="00000000" w14:paraId="00000009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6/1(二)~6/3(四)</w:t>
      </w:r>
    </w:p>
    <w:p w:rsidR="00000000" w:rsidDel="00000000" w:rsidP="00000000" w:rsidRDefault="00000000" w:rsidRPr="00000000" w14:paraId="0000000A">
      <w:pPr>
        <w:ind w:left="72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鋒面北抬</w:t>
      </w:r>
    </w:p>
    <w:p w:rsidR="00000000" w:rsidDel="00000000" w:rsidP="00000000" w:rsidRDefault="00000000" w:rsidRPr="00000000" w14:paraId="0000000B">
      <w:pPr>
        <w:ind w:left="72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以午後熱對流為主</w:t>
      </w:r>
    </w:p>
    <w:p w:rsidR="00000000" w:rsidDel="00000000" w:rsidP="00000000" w:rsidRDefault="00000000" w:rsidRPr="00000000" w14:paraId="0000000C">
      <w:pPr>
        <w:numPr>
          <w:ilvl w:val="1"/>
          <w:numId w:val="2"/>
        </w:numPr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6/4(五)~6/7(一)</w:t>
      </w:r>
    </w:p>
    <w:p w:rsidR="00000000" w:rsidDel="00000000" w:rsidP="00000000" w:rsidRDefault="00000000" w:rsidRPr="00000000" w14:paraId="0000000D">
      <w:pPr>
        <w:ind w:left="144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受鋒面南下影響</w:t>
      </w:r>
    </w:p>
    <w:p w:rsidR="00000000" w:rsidDel="00000000" w:rsidP="00000000" w:rsidRDefault="00000000" w:rsidRPr="00000000" w14:paraId="0000000E">
      <w:pPr>
        <w:ind w:left="144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widowControl w:val="0"/>
        <w:numPr>
          <w:ilvl w:val="0"/>
          <w:numId w:val="4"/>
        </w:numPr>
        <w:spacing w:line="240" w:lineRule="auto"/>
        <w:ind w:left="720" w:hanging="360"/>
        <w:rPr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6/1(二)~6/3(四) </w:t>
      </w: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(圖二)</w:t>
      </w:r>
    </w:p>
    <w:p w:rsidR="00000000" w:rsidDel="00000000" w:rsidP="00000000" w:rsidRDefault="00000000" w:rsidRPr="00000000" w14:paraId="00000010">
      <w:pPr>
        <w:widowControl w:val="0"/>
        <w:numPr>
          <w:ilvl w:val="1"/>
          <w:numId w:val="4"/>
        </w:numPr>
        <w:spacing w:line="240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因槽線遠離，副高北抬，位於台灣上空的滯留鋒得以北抬，且由於西南風上游受到印尼西側熱低壓影響，台灣附近風向以副高提供之西南風主導，相對濕度較低，此段時間主要以午後熱對流為主。</w:t>
      </w:r>
    </w:p>
    <w:p w:rsidR="00000000" w:rsidDel="00000000" w:rsidP="00000000" w:rsidRDefault="00000000" w:rsidRPr="00000000" w14:paraId="00000011">
      <w:pPr>
        <w:widowControl w:val="0"/>
        <w:spacing w:line="240" w:lineRule="auto"/>
        <w:ind w:left="144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widowControl w:val="0"/>
        <w:numPr>
          <w:ilvl w:val="0"/>
          <w:numId w:val="4"/>
        </w:numPr>
        <w:spacing w:line="240" w:lineRule="auto"/>
        <w:ind w:left="720" w:hanging="360"/>
        <w:rPr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鋒面 6/4</w:t>
      </w:r>
      <w:r w:rsidDel="00000000" w:rsidR="00000000" w:rsidRPr="00000000">
        <w:rPr>
          <w:rFonts w:ascii="Gungsuh" w:cs="Gungsuh" w:eastAsia="Gungsuh" w:hAnsi="Gungsuh"/>
          <w:b w:val="1"/>
          <w:color w:val="595959"/>
          <w:sz w:val="24"/>
          <w:szCs w:val="24"/>
          <w:rtl w:val="0"/>
        </w:rPr>
        <w:t xml:space="preserve">(五)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~6/7</w:t>
      </w:r>
      <w:r w:rsidDel="00000000" w:rsidR="00000000" w:rsidRPr="00000000">
        <w:rPr>
          <w:rFonts w:ascii="Gungsuh" w:cs="Gungsuh" w:eastAsia="Gungsuh" w:hAnsi="Gungsuh"/>
          <w:b w:val="1"/>
          <w:color w:val="595959"/>
          <w:sz w:val="24"/>
          <w:szCs w:val="24"/>
          <w:rtl w:val="0"/>
        </w:rPr>
        <w:t xml:space="preserve">(一)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(圖二)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widowControl w:val="0"/>
        <w:numPr>
          <w:ilvl w:val="1"/>
          <w:numId w:val="4"/>
        </w:numPr>
        <w:spacing w:line="240" w:lineRule="auto"/>
        <w:ind w:left="1440" w:hanging="360"/>
        <w:rPr>
          <w:rFonts w:ascii="Times New Roman" w:cs="Times New Roman" w:eastAsia="Times New Roman" w:hAnsi="Times New Roman"/>
          <w:b w:val="1"/>
          <w:color w:val="595959"/>
          <w:sz w:val="26"/>
          <w:szCs w:val="26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新一波大槽逐漸南下，副高往東南退後，台灣已經不再副高的範圍之下。鋒面逐漸靠近台灣，且由於NCEP模式受南方低壓擾動影響，NCEP預報的鋒面比EC更為南邊。低層有來自印度洋的西南風，提供充足水氣，高空受南亞高壓壟罩，無分流，無輻散環境。</w:t>
      </w:r>
    </w:p>
    <w:p w:rsidR="00000000" w:rsidDel="00000000" w:rsidP="00000000" w:rsidRDefault="00000000" w:rsidRPr="00000000" w14:paraId="00000014">
      <w:pPr>
        <w:widowControl w:val="0"/>
        <w:numPr>
          <w:ilvl w:val="1"/>
          <w:numId w:val="4"/>
        </w:numPr>
        <w:spacing w:line="240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6/5 主槽最接近台灣，且南壓至華南地區，台灣位於槽前不穩定環境，鋒面移至台灣中部。鋒面受地形影響，東邊的鋒面南移速度較西邊快。</w:t>
      </w:r>
    </w:p>
    <w:p w:rsidR="00000000" w:rsidDel="00000000" w:rsidP="00000000" w:rsidRDefault="00000000" w:rsidRPr="00000000" w14:paraId="00000015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2.颱風概況-彩雲</w:t>
      </w:r>
    </w:p>
    <w:p w:rsidR="00000000" w:rsidDel="00000000" w:rsidP="00000000" w:rsidRDefault="00000000" w:rsidRPr="00000000" w14:paraId="00000017">
      <w:pPr>
        <w:widowControl w:val="0"/>
        <w:spacing w:line="276" w:lineRule="auto"/>
        <w:ind w:left="0" w:firstLine="72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由目前之紅外線色調強化圖疊加可見光衛星雲圖顯示，颱風位於菲律賓東方，且其對流偏向颱風中心的西側，顯示其上下結構不一致，而從海溫資訊分析，目前海表面溫度及暖水層厚度有利於輕颱彩雲發展，且亦有足夠之水氣，惟垂直風切較大，不利於發展，以各家系集預報結果而言，路徑仍以菲律賓東方海面通過或擦過陸地為主，但有逐漸西修趨勢，颱風發展程度影響周末鋒面將有待觀望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3.模式一周降雨預報</w:t>
      </w:r>
    </w:p>
    <w:p w:rsidR="00000000" w:rsidDel="00000000" w:rsidP="00000000" w:rsidRDefault="00000000" w:rsidRPr="00000000" w14:paraId="0000001A">
      <w:pPr>
        <w:widowControl w:val="0"/>
        <w:numPr>
          <w:ilvl w:val="0"/>
          <w:numId w:val="1"/>
        </w:numPr>
        <w:spacing w:line="276" w:lineRule="auto"/>
        <w:ind w:left="48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bookmarkStart w:colFirst="0" w:colLast="0" w:name="_gjdgxs" w:id="0"/>
      <w:bookmarkEnd w:id="0"/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模式趨勢校驗 </w:t>
      </w:r>
    </w:p>
    <w:p w:rsidR="00000000" w:rsidDel="00000000" w:rsidP="00000000" w:rsidRDefault="00000000" w:rsidRPr="00000000" w14:paraId="0000001B">
      <w:pPr>
        <w:widowControl w:val="0"/>
        <w:spacing w:line="276" w:lineRule="auto"/>
        <w:ind w:left="48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bookmarkStart w:colFirst="0" w:colLast="0" w:name="_emlqafu79e9h" w:id="1"/>
      <w:bookmarkEnd w:id="1"/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從全球模式來看，兩模式皆顯示雨區較偏北及海上，對於陸地上的降水掌握度不足，尤其EC的降水極值皆顯示在北部，與實際中部降水有極大誤差，而NCEP在5/30 12-24z的地面降水範圍及量值與觀測值有相同的趨勢，顯示山區有降水發生。</w:t>
      </w:r>
    </w:p>
    <w:p w:rsidR="00000000" w:rsidDel="00000000" w:rsidP="00000000" w:rsidRDefault="00000000" w:rsidRPr="00000000" w14:paraId="0000001C">
      <w:pPr>
        <w:spacing w:line="276" w:lineRule="auto"/>
        <w:ind w:left="426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widowControl w:val="0"/>
        <w:numPr>
          <w:ilvl w:val="0"/>
          <w:numId w:val="1"/>
        </w:numPr>
        <w:spacing w:line="276" w:lineRule="auto"/>
        <w:ind w:left="48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一周降雨預報 </w:t>
      </w:r>
    </w:p>
    <w:p w:rsidR="00000000" w:rsidDel="00000000" w:rsidP="00000000" w:rsidRDefault="00000000" w:rsidRPr="00000000" w14:paraId="0000001E">
      <w:pPr>
        <w:keepNext w:val="1"/>
        <w:keepLines w:val="1"/>
        <w:widowControl w:val="0"/>
        <w:numPr>
          <w:ilvl w:val="1"/>
          <w:numId w:val="1"/>
        </w:numPr>
        <w:spacing w:after="200" w:line="240" w:lineRule="auto"/>
        <w:ind w:left="960" w:hanging="48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bookmarkStart w:colFirst="0" w:colLast="0" w:name="_bk6dqke0v8u8" w:id="2"/>
      <w:bookmarkEnd w:id="2"/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6/1~6/3</w:t>
      </w:r>
    </w:p>
    <w:p w:rsidR="00000000" w:rsidDel="00000000" w:rsidP="00000000" w:rsidRDefault="00000000" w:rsidRPr="00000000" w14:paraId="0000001F">
      <w:pPr>
        <w:widowControl w:val="0"/>
        <w:spacing w:line="240" w:lineRule="auto"/>
        <w:ind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6/1 降雨以午後熱對流為主，水氣仍多</w:t>
      </w:r>
    </w:p>
    <w:p w:rsidR="00000000" w:rsidDel="00000000" w:rsidP="00000000" w:rsidRDefault="00000000" w:rsidRPr="00000000" w14:paraId="00000020">
      <w:pPr>
        <w:widowControl w:val="0"/>
        <w:spacing w:line="240" w:lineRule="auto"/>
        <w:ind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6/2 午後熱對流範圍縮減，著重在北部東部山區</w:t>
      </w:r>
    </w:p>
    <w:p w:rsidR="00000000" w:rsidDel="00000000" w:rsidP="00000000" w:rsidRDefault="00000000" w:rsidRPr="00000000" w14:paraId="00000021">
      <w:pPr>
        <w:widowControl w:val="0"/>
        <w:spacing w:line="240" w:lineRule="auto"/>
        <w:ind w:firstLine="720"/>
        <w:rPr>
          <w:rFonts w:ascii="Times New Roman" w:cs="Times New Roman" w:eastAsia="Times New Roman" w:hAnsi="Times New Roman"/>
          <w:b w:val="1"/>
          <w:sz w:val="26"/>
          <w:szCs w:val="26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6/3 午後熱對流降雨更少，北部東部有零星降雨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1"/>
        <w:keepLines w:val="1"/>
        <w:widowControl w:val="0"/>
        <w:numPr>
          <w:ilvl w:val="1"/>
          <w:numId w:val="1"/>
        </w:numPr>
        <w:spacing w:after="200" w:line="240" w:lineRule="auto"/>
        <w:ind w:left="960" w:hanging="48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bookmarkStart w:colFirst="0" w:colLast="0" w:name="_33rzmjzb52x3" w:id="3"/>
      <w:bookmarkEnd w:id="3"/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6/4~6/7 </w:t>
      </w:r>
    </w:p>
    <w:p w:rsidR="00000000" w:rsidDel="00000000" w:rsidP="00000000" w:rsidRDefault="00000000" w:rsidRPr="00000000" w14:paraId="00000023">
      <w:pPr>
        <w:widowControl w:val="0"/>
        <w:spacing w:line="240" w:lineRule="auto"/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6/4 鋒面逐漸南下，晚間到半夜接近台灣，白天降水以午後熱對流為主</w:t>
      </w:r>
    </w:p>
    <w:p w:rsidR="00000000" w:rsidDel="00000000" w:rsidP="00000000" w:rsidRDefault="00000000" w:rsidRPr="00000000" w14:paraId="00000024">
      <w:pPr>
        <w:widowControl w:val="0"/>
        <w:spacing w:line="240" w:lineRule="auto"/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6/5 鋒面影響，EC白天中部以北平地有明顯降雨，NCEP中部以南山區降雨較明顯；晚上雨區逐漸南移東移，EC著重中部，NCEP著重東部</w:t>
      </w:r>
    </w:p>
    <w:p w:rsidR="00000000" w:rsidDel="00000000" w:rsidP="00000000" w:rsidRDefault="00000000" w:rsidRPr="00000000" w14:paraId="00000025">
      <w:pPr>
        <w:widowControl w:val="0"/>
        <w:spacing w:line="240" w:lineRule="auto"/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6/6 鋒面移至巴士海峽，EC全台有雨(白天較明顯)，NCEP在台灣海峽南部有旋生，屏東有較大雨勢</w:t>
      </w:r>
    </w:p>
    <w:p w:rsidR="00000000" w:rsidDel="00000000" w:rsidP="00000000" w:rsidRDefault="00000000" w:rsidRPr="00000000" w14:paraId="00000026">
      <w:pPr>
        <w:widowControl w:val="0"/>
        <w:spacing w:line="240" w:lineRule="auto"/>
        <w:ind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6/7 與6號相似，NCEP低壓氣旋移至台灣東南方</w:t>
      </w:r>
    </w:p>
    <w:p w:rsidR="00000000" w:rsidDel="00000000" w:rsidP="00000000" w:rsidRDefault="00000000" w:rsidRPr="00000000" w14:paraId="00000027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4. 結論</w:t>
      </w:r>
    </w:p>
    <w:p w:rsidR="00000000" w:rsidDel="00000000" w:rsidP="00000000" w:rsidRDefault="00000000" w:rsidRPr="00000000" w14:paraId="0000002A">
      <w:pPr>
        <w:widowControl w:val="0"/>
        <w:numPr>
          <w:ilvl w:val="0"/>
          <w:numId w:val="3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梅雨檢查表</w:t>
      </w:r>
    </w:p>
    <w:p w:rsidR="00000000" w:rsidDel="00000000" w:rsidP="00000000" w:rsidRDefault="00000000" w:rsidRPr="00000000" w14:paraId="0000002B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對於此波鋒面進行分析，兩全球模式皆顯示在6/4 12Z鋒面開始影響，並在其後48小時皆達到總勾選量超過14項，相較於前日，由於模式有逐漸將6/6後之鋒面北修的趨勢，NCEP可影響之時間延至6/6 12Z；EC受到副高增強影響，對流發展環境相對較差。</w:t>
      </w:r>
    </w:p>
    <w:p w:rsidR="00000000" w:rsidDel="00000000" w:rsidP="00000000" w:rsidRDefault="00000000" w:rsidRPr="00000000" w14:paraId="0000002C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widowControl w:val="0"/>
        <w:numPr>
          <w:ilvl w:val="0"/>
          <w:numId w:val="3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IOP展望</w:t>
      </w:r>
    </w:p>
    <w:p w:rsidR="00000000" w:rsidDel="00000000" w:rsidP="00000000" w:rsidRDefault="00000000" w:rsidRPr="00000000" w14:paraId="0000002E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對於IOP未來之展望，整體而言兩全球模式有一致的趨勢，皆顯示鋒面於6/4 12z始影響台灣，並於6/5影響最甚，由於鋒面是否北抬仍為變數，IOP持續時間可待觀察。</w:t>
      </w:r>
    </w:p>
    <w:p w:rsidR="00000000" w:rsidDel="00000000" w:rsidP="00000000" w:rsidRDefault="00000000" w:rsidRPr="00000000" w14:paraId="0000002F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圖一、一周天氣圖</w:t>
      </w:r>
    </w:p>
    <w:p w:rsidR="00000000" w:rsidDel="00000000" w:rsidP="00000000" w:rsidRDefault="00000000" w:rsidRPr="00000000" w14:paraId="00000032">
      <w:pPr>
        <w:widowControl w:val="0"/>
        <w:spacing w:line="276" w:lineRule="auto"/>
        <w:ind w:left="0" w:firstLine="0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</w:rPr>
        <w:drawing>
          <wp:inline distB="114300" distT="114300" distL="114300" distR="114300">
            <wp:extent cx="4282730" cy="3233738"/>
            <wp:effectExtent b="0" l="0" r="0" t="0"/>
            <wp:docPr id="17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2730" cy="32337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widowControl w:val="0"/>
        <w:spacing w:line="276" w:lineRule="auto"/>
        <w:ind w:lef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圖二、綜觀場</w:t>
      </w:r>
    </w:p>
    <w:p w:rsidR="00000000" w:rsidDel="00000000" w:rsidP="00000000" w:rsidRDefault="00000000" w:rsidRPr="00000000" w14:paraId="00000034">
      <w:pPr>
        <w:widowControl w:val="0"/>
        <w:spacing w:line="276" w:lineRule="auto"/>
        <w:ind w:left="0" w:firstLine="0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widowControl w:val="0"/>
        <w:spacing w:line="276" w:lineRule="auto"/>
        <w:ind w:left="0" w:firstLine="0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</w:rPr>
        <w:drawing>
          <wp:inline distB="114300" distT="114300" distL="114300" distR="114300">
            <wp:extent cx="5731200" cy="3670300"/>
            <wp:effectExtent b="0" l="0" r="0" t="0"/>
            <wp:docPr id="1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7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</w:rPr>
        <w:drawing>
          <wp:inline distB="114300" distT="114300" distL="114300" distR="114300">
            <wp:extent cx="3499013" cy="4333875"/>
            <wp:effectExtent b="0" l="0" r="0" t="0"/>
            <wp:docPr id="2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8"/>
                    <a:srcRect b="0" l="2559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99013" cy="43338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</w:rPr>
        <w:drawing>
          <wp:inline distB="114300" distT="114300" distL="114300" distR="114300">
            <wp:extent cx="3511388" cy="4379588"/>
            <wp:effectExtent b="0" l="0" r="0" t="0"/>
            <wp:docPr id="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9"/>
                    <a:srcRect b="0" l="1883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11388" cy="4379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</w:rPr>
        <w:drawing>
          <wp:inline distB="114300" distT="114300" distL="114300" distR="114300">
            <wp:extent cx="3719994" cy="4310063"/>
            <wp:effectExtent b="0" l="0" r="0" t="0"/>
            <wp:docPr id="18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19994" cy="4310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圖三、颱風概況</w:t>
      </w:r>
    </w:p>
    <w:p w:rsidR="00000000" w:rsidDel="00000000" w:rsidP="00000000" w:rsidRDefault="00000000" w:rsidRPr="00000000" w14:paraId="00000037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410.0" w:type="dxa"/>
        <w:jc w:val="left"/>
        <w:tblInd w:w="-56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235"/>
        <w:gridCol w:w="1425"/>
        <w:gridCol w:w="3750"/>
        <w:tblGridChange w:id="0">
          <w:tblGrid>
            <w:gridCol w:w="5235"/>
            <w:gridCol w:w="1425"/>
            <w:gridCol w:w="3750"/>
          </w:tblGrid>
        </w:tblGridChange>
      </w:tblGrid>
      <w:tr>
        <w:trPr>
          <w:trHeight w:val="480" w:hRule="atLeast"/>
        </w:trPr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9050" distT="19050" distL="19050" distR="19050">
                  <wp:extent cx="1738313" cy="1738313"/>
                  <wp:effectExtent b="0" l="0" r="0" t="0"/>
                  <wp:docPr id="15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313" cy="17383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9050" distT="19050" distL="19050" distR="19050">
                  <wp:extent cx="2314132" cy="1604963"/>
                  <wp:effectExtent b="0" l="0" r="0" t="0"/>
                  <wp:docPr id="21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132" cy="1604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9050" distT="19050" distL="19050" distR="19050">
                  <wp:extent cx="2281238" cy="1530574"/>
                  <wp:effectExtent b="0" l="0" r="0" t="0"/>
                  <wp:docPr id="8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1238" cy="153057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759.5678710937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D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9050" distT="19050" distL="19050" distR="19050">
                  <wp:extent cx="3055555" cy="2037037"/>
                  <wp:effectExtent b="0" l="0" r="0" t="0"/>
                  <wp:docPr id="1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555" cy="203703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9050" distT="19050" distL="19050" distR="19050">
                  <wp:extent cx="3152775" cy="1574800"/>
                  <wp:effectExtent b="0" l="0" r="0" t="0"/>
                  <wp:docPr id="3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775" cy="1574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759.5678710937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EC</w:t>
            </w:r>
          </w:p>
          <w:p w:rsidR="00000000" w:rsidDel="00000000" w:rsidP="00000000" w:rsidRDefault="00000000" w:rsidRPr="00000000" w14:paraId="00000042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9050" distT="19050" distL="19050" distR="19050">
                  <wp:extent cx="2919947" cy="2341837"/>
                  <wp:effectExtent b="0" l="0" r="0" t="0"/>
                  <wp:docPr id="11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947" cy="234183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NCEP</w:t>
            </w:r>
          </w:p>
          <w:p w:rsidR="00000000" w:rsidDel="00000000" w:rsidP="00000000" w:rsidRDefault="00000000" w:rsidRPr="00000000" w14:paraId="00000044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9050" distT="19050" distL="19050" distR="19050">
                  <wp:extent cx="2576513" cy="2379118"/>
                  <wp:effectExtent b="0" l="0" r="0" t="0"/>
                  <wp:docPr id="4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513" cy="237911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6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圖四、模式校驗</w:t>
      </w:r>
    </w:p>
    <w:p w:rsidR="00000000" w:rsidDel="00000000" w:rsidP="00000000" w:rsidRDefault="00000000" w:rsidRPr="00000000" w14:paraId="0000004E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9050" distT="19050" distL="19050" distR="19050">
            <wp:extent cx="5731200" cy="3073400"/>
            <wp:effectExtent b="0" l="0" r="0" t="0"/>
            <wp:docPr id="16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9050" distT="19050" distL="19050" distR="19050">
            <wp:extent cx="5731200" cy="3086100"/>
            <wp:effectExtent b="0" l="0" r="0" t="0"/>
            <wp:docPr id="1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widowControl w:val="0"/>
        <w:spacing w:line="240" w:lineRule="auto"/>
        <w:rPr>
          <w:rFonts w:ascii="Times New Roman" w:cs="Times New Roman" w:eastAsia="Times New Roman" w:hAnsi="Times New Roman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widowControl w:val="0"/>
        <w:spacing w:line="240" w:lineRule="auto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圖五、逐run預報趨勢</w:t>
      </w:r>
    </w:p>
    <w:tbl>
      <w:tblPr>
        <w:tblStyle w:val="Table2"/>
        <w:tblW w:w="10590.0" w:type="dxa"/>
        <w:jc w:val="left"/>
        <w:tblInd w:w="-68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455"/>
        <w:gridCol w:w="9135"/>
        <w:tblGridChange w:id="0">
          <w:tblGrid>
            <w:gridCol w:w="1455"/>
            <w:gridCol w:w="9135"/>
          </w:tblGrid>
        </w:tblGridChange>
      </w:tblGrid>
      <w:tr>
        <w:trPr>
          <w:trHeight w:val="592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1" distB="19050" distT="19050" distL="19050" distR="19050" hidden="0" layoutInCell="1" locked="0" relativeHeight="0" simplePos="0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9526</wp:posOffset>
                  </wp:positionV>
                  <wp:extent cx="842963" cy="3333534"/>
                  <wp:effectExtent b="0" l="0" r="0" t="0"/>
                  <wp:wrapNone/>
                  <wp:docPr id="9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0"/>
                          <a:srcRect b="0" l="0" r="86727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963" cy="333353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0"/>
                <w:szCs w:val="30"/>
                <w:rtl w:val="0"/>
              </w:rPr>
              <w:t xml:space="preserve">06/05</w:t>
            </w:r>
            <w:r w:rsidDel="00000000" w:rsidR="00000000" w:rsidRPr="00000000">
              <w:rPr>
                <w:rFonts w:ascii="Gungsuh" w:cs="Gungsuh" w:eastAsia="Gungsuh" w:hAnsi="Gungsuh"/>
                <w:b w:val="1"/>
                <w:sz w:val="18"/>
                <w:szCs w:val="18"/>
                <w:rtl w:val="0"/>
              </w:rPr>
              <w:t xml:space="preserve">(六)</w:t>
            </w:r>
          </w:p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0"/>
                <w:szCs w:val="30"/>
                <w:rtl w:val="0"/>
              </w:rPr>
              <w:t xml:space="preserve">00-12z</w:t>
            </w:r>
          </w:p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0"/>
                <w:szCs w:val="30"/>
                <w:rtl w:val="0"/>
              </w:rPr>
              <w:t xml:space="preserve">06/04</w:t>
            </w:r>
            <w:r w:rsidDel="00000000" w:rsidR="00000000" w:rsidRPr="00000000">
              <w:rPr>
                <w:rFonts w:ascii="Gungsuh" w:cs="Gungsuh" w:eastAsia="Gungsuh" w:hAnsi="Gungsuh"/>
                <w:b w:val="1"/>
                <w:sz w:val="18"/>
                <w:szCs w:val="18"/>
                <w:rtl w:val="0"/>
              </w:rPr>
              <w:t xml:space="preserve">(五)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0"/>
                <w:szCs w:val="30"/>
                <w:rtl w:val="0"/>
              </w:rPr>
              <w:t xml:space="preserve">12-24z</w:t>
            </w:r>
          </w:p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0"/>
                <w:szCs w:val="30"/>
                <w:rtl w:val="0"/>
              </w:rPr>
              <w:t xml:space="preserve">06/04</w:t>
            </w:r>
            <w:r w:rsidDel="00000000" w:rsidR="00000000" w:rsidRPr="00000000">
              <w:rPr>
                <w:rFonts w:ascii="Gungsuh" w:cs="Gungsuh" w:eastAsia="Gungsuh" w:hAnsi="Gungsuh"/>
                <w:b w:val="1"/>
                <w:sz w:val="18"/>
                <w:szCs w:val="18"/>
                <w:rtl w:val="0"/>
              </w:rPr>
              <w:t xml:space="preserve">(五)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0"/>
                <w:szCs w:val="30"/>
                <w:rtl w:val="0"/>
              </w:rPr>
              <w:t xml:space="preserve">00-12z</w:t>
            </w:r>
          </w:p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36"/>
                <w:szCs w:val="3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36"/>
                <w:szCs w:val="36"/>
                <w:rtl w:val="0"/>
              </w:rPr>
              <w:t xml:space="preserve">EC</w:t>
            </w:r>
          </w:p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9050" distT="19050" distL="19050" distR="19050">
                  <wp:extent cx="5612041" cy="3309938"/>
                  <wp:effectExtent b="0" l="0" r="0" t="0"/>
                  <wp:docPr id="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0"/>
                          <a:srcRect b="0" l="12126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041" cy="33099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1" distB="19050" distT="19050" distL="19050" distR="19050" hidden="0" layoutInCell="1" locked="0" relativeHeight="0" simplePos="0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9526</wp:posOffset>
                  </wp:positionV>
                  <wp:extent cx="842963" cy="3333534"/>
                  <wp:effectExtent b="0" l="0" r="0" t="0"/>
                  <wp:wrapNone/>
                  <wp:docPr id="22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0"/>
                          <a:srcRect b="0" l="0" r="86727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963" cy="333353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0"/>
                <w:szCs w:val="30"/>
                <w:rtl w:val="0"/>
              </w:rPr>
              <w:t xml:space="preserve">06/05</w:t>
            </w:r>
            <w:r w:rsidDel="00000000" w:rsidR="00000000" w:rsidRPr="00000000">
              <w:rPr>
                <w:rFonts w:ascii="Gungsuh" w:cs="Gungsuh" w:eastAsia="Gungsuh" w:hAnsi="Gungsuh"/>
                <w:b w:val="1"/>
                <w:sz w:val="18"/>
                <w:szCs w:val="18"/>
                <w:rtl w:val="0"/>
              </w:rPr>
              <w:t xml:space="preserve">(六)</w:t>
            </w:r>
          </w:p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0"/>
                <w:szCs w:val="30"/>
                <w:rtl w:val="0"/>
              </w:rPr>
              <w:t xml:space="preserve">00-12z</w:t>
            </w:r>
          </w:p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0"/>
                <w:szCs w:val="30"/>
                <w:rtl w:val="0"/>
              </w:rPr>
              <w:t xml:space="preserve">06/04</w:t>
            </w:r>
            <w:r w:rsidDel="00000000" w:rsidR="00000000" w:rsidRPr="00000000">
              <w:rPr>
                <w:rFonts w:ascii="Gungsuh" w:cs="Gungsuh" w:eastAsia="Gungsuh" w:hAnsi="Gungsuh"/>
                <w:b w:val="1"/>
                <w:sz w:val="18"/>
                <w:szCs w:val="18"/>
                <w:rtl w:val="0"/>
              </w:rPr>
              <w:t xml:space="preserve">(五)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0"/>
                <w:szCs w:val="30"/>
                <w:rtl w:val="0"/>
              </w:rPr>
              <w:t xml:space="preserve">12-24z</w:t>
            </w:r>
          </w:p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0"/>
                <w:szCs w:val="30"/>
                <w:rtl w:val="0"/>
              </w:rPr>
              <w:t xml:space="preserve">06/04</w:t>
            </w:r>
            <w:r w:rsidDel="00000000" w:rsidR="00000000" w:rsidRPr="00000000">
              <w:rPr>
                <w:rFonts w:ascii="Gungsuh" w:cs="Gungsuh" w:eastAsia="Gungsuh" w:hAnsi="Gungsuh"/>
                <w:b w:val="1"/>
                <w:sz w:val="18"/>
                <w:szCs w:val="18"/>
                <w:rtl w:val="0"/>
              </w:rPr>
              <w:t xml:space="preserve">(五)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30"/>
                <w:szCs w:val="3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0"/>
                <w:szCs w:val="30"/>
                <w:rtl w:val="0"/>
              </w:rPr>
              <w:t xml:space="preserve">00-12z</w:t>
            </w:r>
          </w:p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36"/>
                <w:szCs w:val="36"/>
                <w:rtl w:val="0"/>
              </w:rPr>
              <w:t xml:space="preserve">NCEP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2"/>
                <w:szCs w:val="32"/>
              </w:rPr>
              <w:drawing>
                <wp:inline distB="19050" distT="19050" distL="19050" distR="19050">
                  <wp:extent cx="5636450" cy="3338513"/>
                  <wp:effectExtent b="0" l="0" r="0" t="0"/>
                  <wp:docPr id="12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1"/>
                          <a:srcRect b="0" l="1260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6450" cy="33385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3">
      <w:pPr>
        <w:widowControl w:val="0"/>
        <w:spacing w:line="240" w:lineRule="auto"/>
        <w:rPr>
          <w:rFonts w:ascii="Times New Roman" w:cs="Times New Roman" w:eastAsia="Times New Roman" w:hAnsi="Times New Roman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widowControl w:val="0"/>
        <w:spacing w:line="240" w:lineRule="auto"/>
        <w:rPr>
          <w:rFonts w:ascii="Times New Roman" w:cs="Times New Roman" w:eastAsia="Times New Roman" w:hAnsi="Times New Roman"/>
          <w:b w:val="1"/>
          <w:sz w:val="32"/>
          <w:szCs w:val="32"/>
        </w:rPr>
      </w:pPr>
      <w:r w:rsidDel="00000000" w:rsidR="00000000" w:rsidRPr="00000000">
        <w:rPr>
          <w:rFonts w:ascii="Gungsuh" w:cs="Gungsuh" w:eastAsia="Gungsuh" w:hAnsi="Gungsuh"/>
          <w:b w:val="1"/>
          <w:sz w:val="32"/>
          <w:szCs w:val="32"/>
          <w:rtl w:val="0"/>
        </w:rPr>
        <w:t xml:space="preserve">圖六、一周降雨預報</w:t>
      </w:r>
    </w:p>
    <w:p w:rsidR="00000000" w:rsidDel="00000000" w:rsidP="00000000" w:rsidRDefault="00000000" w:rsidRPr="00000000" w14:paraId="00000075">
      <w:pPr>
        <w:widowControl w:val="0"/>
        <w:spacing w:line="240" w:lineRule="auto"/>
        <w:rPr>
          <w:rFonts w:ascii="Times New Roman" w:cs="Times New Roman" w:eastAsia="Times New Roman" w:hAnsi="Times New Roman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00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40"/>
        <w:gridCol w:w="7260"/>
        <w:tblGridChange w:id="0">
          <w:tblGrid>
            <w:gridCol w:w="1740"/>
            <w:gridCol w:w="726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2"/>
                <w:szCs w:val="32"/>
                <w:rtl w:val="0"/>
              </w:rPr>
              <w:t xml:space="preserve">6/1-6/3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2"/>
                <w:szCs w:val="32"/>
              </w:rPr>
              <w:drawing>
                <wp:inline distB="19050" distT="19050" distL="19050" distR="19050">
                  <wp:extent cx="4405313" cy="3870382"/>
                  <wp:effectExtent b="0" l="0" r="0" t="0"/>
                  <wp:docPr id="5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5313" cy="38703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2"/>
                <w:szCs w:val="32"/>
                <w:rtl w:val="0"/>
              </w:rPr>
              <w:t xml:space="preserve">6/4-6/7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32"/>
                <w:szCs w:val="32"/>
              </w:rPr>
              <w:drawing>
                <wp:inline distB="19050" distT="19050" distL="19050" distR="19050">
                  <wp:extent cx="4462463" cy="2886558"/>
                  <wp:effectExtent b="0" l="0" r="0" t="0"/>
                  <wp:docPr id="23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2463" cy="28865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A">
      <w:pPr>
        <w:widowControl w:val="0"/>
        <w:spacing w:line="240" w:lineRule="auto"/>
        <w:rPr>
          <w:rFonts w:ascii="Times New Roman" w:cs="Times New Roman" w:eastAsia="Times New Roman" w:hAnsi="Times New Roman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widowControl w:val="0"/>
        <w:spacing w:line="276" w:lineRule="auto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表一、綜觀場概況</w:t>
      </w:r>
    </w:p>
    <w:p w:rsidR="00000000" w:rsidDel="00000000" w:rsidP="00000000" w:rsidRDefault="00000000" w:rsidRPr="00000000" w14:paraId="0000007C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5731200" cy="2908300"/>
            <wp:effectExtent b="0" l="0" r="0" t="0"/>
            <wp:docPr id="14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widowControl w:val="0"/>
        <w:spacing w:line="240" w:lineRule="auto"/>
        <w:rPr>
          <w:rFonts w:ascii="Times New Roman" w:cs="Times New Roman" w:eastAsia="Times New Roman" w:hAnsi="Times New Roman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表二、梅雨檢查表</w:t>
      </w:r>
    </w:p>
    <w:p w:rsidR="00000000" w:rsidDel="00000000" w:rsidP="00000000" w:rsidRDefault="00000000" w:rsidRPr="00000000" w14:paraId="0000007F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</w:rPr>
        <w:drawing>
          <wp:inline distB="114300" distT="114300" distL="114300" distR="114300">
            <wp:extent cx="5731200" cy="3225800"/>
            <wp:effectExtent b="0" l="0" r="0" t="0"/>
            <wp:docPr id="1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表三、鋒面降雨預報</w:t>
      </w:r>
    </w:p>
    <w:p w:rsidR="00000000" w:rsidDel="00000000" w:rsidP="00000000" w:rsidRDefault="00000000" w:rsidRPr="00000000" w14:paraId="00000082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</w:rPr>
        <w:drawing>
          <wp:inline distB="114300" distT="114300" distL="114300" distR="114300">
            <wp:extent cx="5731200" cy="3619500"/>
            <wp:effectExtent b="0" l="0" r="0" t="0"/>
            <wp:docPr id="20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1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  <w:font w:name="Gungsuh"/>
  <w:font w:name="Noto Sans Symbol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480" w:hanging="48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■"/>
      <w:lvlJc w:val="left"/>
      <w:pPr>
        <w:ind w:left="960" w:hanging="480"/>
      </w:pPr>
      <w:rPr>
        <w:rFonts w:ascii="Noto Sans Symbols" w:cs="Noto Sans Symbols" w:eastAsia="Noto Sans Symbols" w:hAnsi="Noto Sans Symbols"/>
      </w:rPr>
    </w:lvl>
    <w:lvl w:ilvl="2">
      <w:start w:val="1"/>
      <w:numFmt w:val="bullet"/>
      <w:lvlText w:val="◆"/>
      <w:lvlJc w:val="left"/>
      <w:pPr>
        <w:ind w:left="1440" w:hanging="48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1920" w:hanging="48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■"/>
      <w:lvlJc w:val="left"/>
      <w:pPr>
        <w:ind w:left="2400" w:hanging="480"/>
      </w:pPr>
      <w:rPr>
        <w:rFonts w:ascii="Noto Sans Symbols" w:cs="Noto Sans Symbols" w:eastAsia="Noto Sans Symbols" w:hAnsi="Noto Sans Symbols"/>
      </w:rPr>
    </w:lvl>
    <w:lvl w:ilvl="5">
      <w:start w:val="1"/>
      <w:numFmt w:val="bullet"/>
      <w:lvlText w:val="◆"/>
      <w:lvlJc w:val="left"/>
      <w:pPr>
        <w:ind w:left="2880" w:hanging="48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3360" w:hanging="48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■"/>
      <w:lvlJc w:val="left"/>
      <w:pPr>
        <w:ind w:left="3840" w:hanging="480"/>
      </w:pPr>
      <w:rPr>
        <w:rFonts w:ascii="Noto Sans Symbols" w:cs="Noto Sans Symbols" w:eastAsia="Noto Sans Symbols" w:hAnsi="Noto Sans Symbols"/>
      </w:rPr>
    </w:lvl>
    <w:lvl w:ilvl="8">
      <w:start w:val="1"/>
      <w:numFmt w:val="bullet"/>
      <w:lvlText w:val="◆"/>
      <w:lvlJc w:val="left"/>
      <w:pPr>
        <w:ind w:left="4320" w:hanging="48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zh_TW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1.png"/><Relationship Id="rId22" Type="http://schemas.openxmlformats.org/officeDocument/2006/relationships/image" Target="media/image9.png"/><Relationship Id="rId21" Type="http://schemas.openxmlformats.org/officeDocument/2006/relationships/image" Target="media/image8.png"/><Relationship Id="rId24" Type="http://schemas.openxmlformats.org/officeDocument/2006/relationships/image" Target="media/image13.png"/><Relationship Id="rId23" Type="http://schemas.openxmlformats.org/officeDocument/2006/relationships/image" Target="media/image1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9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5" Type="http://schemas.openxmlformats.org/officeDocument/2006/relationships/styles" Target="styles.xml"/><Relationship Id="rId6" Type="http://schemas.openxmlformats.org/officeDocument/2006/relationships/image" Target="media/image15.png"/><Relationship Id="rId7" Type="http://schemas.openxmlformats.org/officeDocument/2006/relationships/image" Target="media/image21.png"/><Relationship Id="rId8" Type="http://schemas.openxmlformats.org/officeDocument/2006/relationships/image" Target="media/image20.png"/><Relationship Id="rId11" Type="http://schemas.openxmlformats.org/officeDocument/2006/relationships/image" Target="media/image4.png"/><Relationship Id="rId10" Type="http://schemas.openxmlformats.org/officeDocument/2006/relationships/image" Target="media/image18.png"/><Relationship Id="rId13" Type="http://schemas.openxmlformats.org/officeDocument/2006/relationships/image" Target="media/image1.png"/><Relationship Id="rId12" Type="http://schemas.openxmlformats.org/officeDocument/2006/relationships/image" Target="media/image12.png"/><Relationship Id="rId15" Type="http://schemas.openxmlformats.org/officeDocument/2006/relationships/image" Target="media/image3.png"/><Relationship Id="rId14" Type="http://schemas.openxmlformats.org/officeDocument/2006/relationships/image" Target="media/image5.png"/><Relationship Id="rId17" Type="http://schemas.openxmlformats.org/officeDocument/2006/relationships/image" Target="media/image7.png"/><Relationship Id="rId16" Type="http://schemas.openxmlformats.org/officeDocument/2006/relationships/image" Target="media/image2.png"/><Relationship Id="rId19" Type="http://schemas.openxmlformats.org/officeDocument/2006/relationships/image" Target="media/image6.png"/><Relationship Id="rId18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