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widowControl w:val="0"/>
        <w:spacing w:line="276" w:lineRule="auto"/>
        <w:jc w:val="center"/>
        <w:rPr>
          <w:rFonts w:ascii="Times New Roman" w:cs="Times New Roman" w:eastAsia="Times New Roman" w:hAnsi="Times New Roman"/>
          <w:b w:val="1"/>
          <w:sz w:val="36"/>
          <w:szCs w:val="36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6"/>
          <w:szCs w:val="36"/>
          <w:rtl w:val="0"/>
        </w:rPr>
        <w:t xml:space="preserve">NoCOVID21/TAHOPE Weather Summary</w:t>
      </w:r>
    </w:p>
    <w:p w:rsidR="00000000" w:rsidDel="00000000" w:rsidP="00000000" w:rsidRDefault="00000000" w:rsidRPr="00000000" w14:paraId="00000002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Date(UTC):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2021/06/06 02:00</w:t>
      </w:r>
    </w:p>
    <w:p w:rsidR="00000000" w:rsidDel="00000000" w:rsidP="00000000" w:rsidRDefault="00000000" w:rsidRPr="00000000" w14:paraId="00000003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Author: 黃詣軒、吳若瑜、余世暘、陳俊宇、廖建泓</w:t>
      </w:r>
    </w:p>
    <w:p w:rsidR="00000000" w:rsidDel="00000000" w:rsidP="00000000" w:rsidRDefault="00000000" w:rsidRPr="00000000" w14:paraId="00000004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Submitted at(UTC):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2021/06/06  08:00</w:t>
      </w:r>
    </w:p>
    <w:p w:rsidR="00000000" w:rsidDel="00000000" w:rsidP="00000000" w:rsidRDefault="00000000" w:rsidRPr="00000000" w14:paraId="00000005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color w:val="999999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999999"/>
          <w:sz w:val="24"/>
          <w:szCs w:val="24"/>
          <w:rtl w:val="0"/>
        </w:rPr>
        <w:t xml:space="preserve">Revised at(UTC):</w:t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1. 6/6 ~ 6/8 綜觀天氣系統: (圖1-1 ~ 圖1-6)</w:t>
      </w:r>
    </w:p>
    <w:p w:rsidR="00000000" w:rsidDel="00000000" w:rsidP="00000000" w:rsidRDefault="00000000" w:rsidRPr="00000000" w14:paraId="00000008">
      <w:pPr>
        <w:widowControl w:val="0"/>
        <w:numPr>
          <w:ilvl w:val="0"/>
          <w:numId w:val="1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6/6:</w:t>
        <w:br w:type="textWrapping"/>
      </w:r>
      <w:r w:rsidDel="00000000" w:rsidR="00000000" w:rsidRPr="00000000">
        <w:rPr>
          <w:rFonts w:ascii="Gungsuh" w:cs="Gungsuh" w:eastAsia="Gungsuh" w:hAnsi="Gungsuh"/>
          <w:sz w:val="28"/>
          <w:szCs w:val="28"/>
          <w:rtl w:val="0"/>
        </w:rPr>
        <w:t xml:space="preserve">1000hPa風切線位於臺灣上空，臺灣位於低壓槽內；</w:t>
        <w:br w:type="textWrapping"/>
        <w:t xml:space="preserve">700hPa風切線、短槽位於華南，臺灣位於短槽槽前且潮濕；</w:t>
        <w:br w:type="textWrapping"/>
        <w:t xml:space="preserve">500hPa槽線位於朝鮮至臺灣海峽西側，臺灣位於槽前有利位置；</w:t>
        <w:br w:type="textWrapping"/>
        <w:t xml:space="preserve">200hPa臺灣位於噴流條入區右側，流線場高空分流、輻散。</w:t>
        <w:br w:type="textWrapping"/>
      </w:r>
    </w:p>
    <w:p w:rsidR="00000000" w:rsidDel="00000000" w:rsidP="00000000" w:rsidRDefault="00000000" w:rsidRPr="00000000" w14:paraId="00000009">
      <w:pPr>
        <w:widowControl w:val="0"/>
        <w:numPr>
          <w:ilvl w:val="0"/>
          <w:numId w:val="1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6/7:</w:t>
        <w:br w:type="textWrapping"/>
      </w:r>
      <w:r w:rsidDel="00000000" w:rsidR="00000000" w:rsidRPr="00000000">
        <w:rPr>
          <w:rFonts w:ascii="Gungsuh" w:cs="Gungsuh" w:eastAsia="Gungsuh" w:hAnsi="Gungsuh"/>
          <w:sz w:val="28"/>
          <w:szCs w:val="28"/>
          <w:rtl w:val="0"/>
        </w:rPr>
        <w:t xml:space="preserve">1000hPa風切線位於臺灣上空，臺灣位於低壓槽內；</w:t>
        <w:br w:type="textWrapping"/>
        <w:t xml:space="preserve">700hPa短槽東移淺化，風切線位於華南，臺灣位於槽前且潮濕；</w:t>
        <w:br w:type="textWrapping"/>
        <w:t xml:space="preserve">500hPa槽線東移北收至日本九州一帶，臺灣位於槽後；</w:t>
        <w:br w:type="textWrapping"/>
        <w:t xml:space="preserve">200hPa噴流條東移，然臺灣仍位於風向分流位置。</w:t>
        <w:br w:type="textWrapping"/>
      </w:r>
    </w:p>
    <w:p w:rsidR="00000000" w:rsidDel="00000000" w:rsidP="00000000" w:rsidRDefault="00000000" w:rsidRPr="00000000" w14:paraId="0000000A">
      <w:pPr>
        <w:widowControl w:val="0"/>
        <w:numPr>
          <w:ilvl w:val="0"/>
          <w:numId w:val="1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6/8:</w:t>
        <w:br w:type="textWrapping"/>
      </w:r>
      <w:r w:rsidDel="00000000" w:rsidR="00000000" w:rsidRPr="00000000">
        <w:rPr>
          <w:rFonts w:ascii="Gungsuh" w:cs="Gungsuh" w:eastAsia="Gungsuh" w:hAnsi="Gungsuh"/>
          <w:sz w:val="28"/>
          <w:szCs w:val="28"/>
          <w:rtl w:val="0"/>
        </w:rPr>
        <w:t xml:space="preserve">1000hPa風切線消失，臺灣於低壓槽東南側，環境為南風、東南風，菲律賓東方海面有一熱帶擾動逐漸發展；</w:t>
        <w:br w:type="textWrapping"/>
        <w:t xml:space="preserve">700hPa風切線亦減弱消失，臺灣環境為西南風，中層潮濕；</w:t>
        <w:br w:type="textWrapping"/>
        <w:t xml:space="preserve">500hPa副高無顯著影響臺灣，北方亦無槽脊系統；</w:t>
        <w:br w:type="textWrapping"/>
        <w:t xml:space="preserve">200hPa臺灣高空噴流、輻散等有利因素減緩。</w:t>
        <w:br w:type="textWrapping"/>
      </w:r>
    </w:p>
    <w:p w:rsidR="00000000" w:rsidDel="00000000" w:rsidP="00000000" w:rsidRDefault="00000000" w:rsidRPr="00000000" w14:paraId="0000000B">
      <w:pPr>
        <w:widowControl w:val="0"/>
        <w:numPr>
          <w:ilvl w:val="0"/>
          <w:numId w:val="1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8"/>
          <w:szCs w:val="28"/>
          <w:u w:val="none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低層(1000-850hPa)水氣通量: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6/6</w:t>
      </w:r>
      <w:r w:rsidDel="00000000" w:rsidR="00000000" w:rsidRPr="00000000">
        <w:rPr>
          <w:rFonts w:ascii="Gungsuh" w:cs="Gungsuh" w:eastAsia="Gungsuh" w:hAnsi="Gungsuh"/>
          <w:sz w:val="28"/>
          <w:szCs w:val="28"/>
          <w:rtl w:val="0"/>
        </w:rPr>
        <w:t xml:space="preserve">水氣通量由西南風自南海進入臺灣海峽、巴士海峽，於海峽南側、臺灣西南部產生局部水氣通量輻合；</w:t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6/7</w:t>
      </w:r>
      <w:r w:rsidDel="00000000" w:rsidR="00000000" w:rsidRPr="00000000">
        <w:rPr>
          <w:rFonts w:ascii="Gungsuh" w:cs="Gungsuh" w:eastAsia="Gungsuh" w:hAnsi="Gungsuh"/>
          <w:sz w:val="28"/>
          <w:szCs w:val="28"/>
          <w:rtl w:val="0"/>
        </w:rPr>
        <w:t xml:space="preserve">低層風向由西南風轉為偏南風、鋒面北退，使南海北上的水氣通量通過海峽至台灣北側，水氣通量輻合區北移；</w:t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6/8</w:t>
      </w:r>
      <w:r w:rsidDel="00000000" w:rsidR="00000000" w:rsidRPr="00000000">
        <w:rPr>
          <w:rFonts w:ascii="Gungsuh" w:cs="Gungsuh" w:eastAsia="Gungsuh" w:hAnsi="Gungsuh"/>
          <w:sz w:val="28"/>
          <w:szCs w:val="28"/>
          <w:rtl w:val="0"/>
        </w:rPr>
        <w:t xml:space="preserve">低層水氣通量受菲東熱帶擾動影響，北上通量減少，且自海峽通過臺灣附近，無產生明顯輻合區。</w:t>
        <w:br w:type="textWrapping"/>
      </w:r>
    </w:p>
    <w:p w:rsidR="00000000" w:rsidDel="00000000" w:rsidP="00000000" w:rsidRDefault="00000000" w:rsidRPr="00000000" w14:paraId="0000000C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2. EC / NCEP 綜觀天氣系統預報比較（圖2-1、圖2-2）</w:t>
      </w:r>
    </w:p>
    <w:p w:rsidR="00000000" w:rsidDel="00000000" w:rsidP="00000000" w:rsidRDefault="00000000" w:rsidRPr="00000000" w14:paraId="0000000D">
      <w:pPr>
        <w:widowControl w:val="0"/>
        <w:numPr>
          <w:ilvl w:val="0"/>
          <w:numId w:val="1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6/6:</w:t>
      </w:r>
      <w:r w:rsidDel="00000000" w:rsidR="00000000" w:rsidRPr="00000000">
        <w:rPr>
          <w:rFonts w:ascii="Gungsuh" w:cs="Gungsuh" w:eastAsia="Gungsuh" w:hAnsi="Gungsuh"/>
          <w:sz w:val="28"/>
          <w:szCs w:val="28"/>
          <w:rtl w:val="0"/>
        </w:rPr>
        <w:br w:type="textWrapping"/>
        <w:t xml:space="preserve">兩模式無明顯差異。500 hPa 皆可看見台灣位於槽前、副高勢力東退，屬於有利對流發展的環境。850 hPa 則可見風切線皆滯留於台灣北部。</w:t>
      </w:r>
    </w:p>
    <w:p w:rsidR="00000000" w:rsidDel="00000000" w:rsidP="00000000" w:rsidRDefault="00000000" w:rsidRPr="00000000" w14:paraId="0000000E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widowControl w:val="0"/>
        <w:numPr>
          <w:ilvl w:val="0"/>
          <w:numId w:val="1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6/7:</w:t>
      </w:r>
      <w:r w:rsidDel="00000000" w:rsidR="00000000" w:rsidRPr="00000000">
        <w:rPr>
          <w:rFonts w:ascii="Gungsuh" w:cs="Gungsuh" w:eastAsia="Gungsuh" w:hAnsi="Gungsuh"/>
          <w:sz w:val="28"/>
          <w:szCs w:val="28"/>
          <w:rtl w:val="0"/>
        </w:rPr>
        <w:br w:type="textWrapping"/>
        <w:t xml:space="preserve">兩模式無明顯差異。500 hPa 皆可看見副高勢力略為增強、台灣不再位於槽前。不過，850 hPa 則可見兩模式之風切線依舊滯留於台灣北部。</w:t>
      </w:r>
    </w:p>
    <w:p w:rsidR="00000000" w:rsidDel="00000000" w:rsidP="00000000" w:rsidRDefault="00000000" w:rsidRPr="00000000" w14:paraId="00000010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widowControl w:val="0"/>
        <w:numPr>
          <w:ilvl w:val="0"/>
          <w:numId w:val="1"/>
        </w:numPr>
        <w:spacing w:line="276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6/8:</w:t>
        <w:br w:type="textWrapping"/>
      </w:r>
      <w:r w:rsidDel="00000000" w:rsidR="00000000" w:rsidRPr="00000000">
        <w:rPr>
          <w:rFonts w:ascii="Gungsuh" w:cs="Gungsuh" w:eastAsia="Gungsuh" w:hAnsi="Gungsuh"/>
          <w:sz w:val="28"/>
          <w:szCs w:val="28"/>
          <w:rtl w:val="0"/>
        </w:rPr>
        <w:t xml:space="preserve">在850 hPa 可看見兩模式皆無明顯風切線存在；主要差異在於500 hPa NCEP的副高比EC弱一些，可見NCEP低緯度地區有較強的熱帶擾動發展。</w:t>
      </w:r>
    </w:p>
    <w:p w:rsidR="00000000" w:rsidDel="00000000" w:rsidP="00000000" w:rsidRDefault="00000000" w:rsidRPr="00000000" w14:paraId="00000012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3. iQPF 校驗 (06/05 00~12Z)/ 預報(06/06 00Z ~06/07 12Z)</w:t>
      </w:r>
    </w:p>
    <w:p w:rsidR="00000000" w:rsidDel="00000000" w:rsidP="00000000" w:rsidRDefault="00000000" w:rsidRPr="00000000" w14:paraId="00000014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(A).校驗:</w:t>
      </w:r>
    </w:p>
    <w:p w:rsidR="00000000" w:rsidDel="00000000" w:rsidP="00000000" w:rsidRDefault="00000000" w:rsidRPr="00000000" w14:paraId="00000016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1.</w:t>
      </w: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首先針對全球模式6/5 00Z-12Z 降雨進行校驗，北部外海降水EC掌握較佳，溪南的降水則以NCEP掌握較佳，且對於西南部此波降雨，NCEP預報相當穩定，相對早期已經有掌握</w:t>
      </w:r>
    </w:p>
    <w:p w:rsidR="00000000" w:rsidDel="00000000" w:rsidP="00000000" w:rsidRDefault="00000000" w:rsidRPr="00000000" w14:paraId="00000017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2.</w:t>
      </w: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針對區域模式6/5 00Z-12Z校驗，北部外海降水，WRFD及TWRF掌握尚可，西南部的降水，兩者低估了西南部平地的降水尤其在嘉南地區，且TWRF明顯高估山區降雨，推測其西南風預報可能過強，而造成較強的爬山流，而在山區報出過多降水</w:t>
      </w:r>
    </w:p>
    <w:p w:rsidR="00000000" w:rsidDel="00000000" w:rsidP="00000000" w:rsidRDefault="00000000" w:rsidRPr="00000000" w14:paraId="00000019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b w:val="1"/>
          <w:sz w:val="24"/>
          <w:szCs w:val="24"/>
          <w:rtl w:val="0"/>
        </w:rPr>
        <w:t xml:space="preserve">(B).預報:</w:t>
        <w:br w:type="textWrapping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1.由於此波降水已逐漸進入尾聲，尤其北部已位處鋒後地區，要在有較大的降水可能性較低，降水pattern傾向以NCEP為主，NCEP在西南部仍有報出較大的雨勢，西南部地區，尤其高屏地區，在6/6一整天可能有超過500mm的降水</w:t>
      </w:r>
    </w:p>
    <w:p w:rsidR="00000000" w:rsidDel="00000000" w:rsidP="00000000" w:rsidRDefault="00000000" w:rsidRPr="00000000" w14:paraId="0000001C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2.WRFD與TWRF均在西南部平地地區有做出較大的雨勢，但WRFD極值較TWRF高，整體在6/6 西南部地區仍有超過300mm降水的可能</w:t>
      </w:r>
    </w:p>
    <w:p w:rsidR="00000000" w:rsidDel="00000000" w:rsidP="00000000" w:rsidRDefault="00000000" w:rsidRPr="00000000" w14:paraId="0000001E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widowControl w:val="0"/>
        <w:spacing w:line="276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Gungsuh" w:cs="Gungsuh" w:eastAsia="Gungsuh" w:hAnsi="Gungsuh"/>
          <w:sz w:val="24"/>
          <w:szCs w:val="24"/>
          <w:rtl w:val="0"/>
        </w:rPr>
        <w:t xml:space="preserve">3.6/7後此波梅雨降水即將進入尾聲，除了西南部地區仍偶有局部較大雨勢發生的機會，其餘地區則以多雲偶有局部零星陣雨天氣為主</w:t>
      </w:r>
    </w:p>
    <w:p w:rsidR="00000000" w:rsidDel="00000000" w:rsidP="00000000" w:rsidRDefault="00000000" w:rsidRPr="00000000" w14:paraId="00000020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4. 圖</w:t>
      </w:r>
    </w:p>
    <w:p w:rsidR="00000000" w:rsidDel="00000000" w:rsidP="00000000" w:rsidRDefault="00000000" w:rsidRPr="00000000" w14:paraId="00000023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圖1-1、 地面天氣圖（6/6-6/8）</w:t>
      </w:r>
    </w:p>
    <w:p w:rsidR="00000000" w:rsidDel="00000000" w:rsidP="00000000" w:rsidRDefault="00000000" w:rsidRPr="00000000" w14:paraId="00000024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</w:rPr>
        <w:drawing>
          <wp:inline distB="114300" distT="114300" distL="114300" distR="114300">
            <wp:extent cx="3362400" cy="2476800"/>
            <wp:effectExtent b="0" l="0" r="0" t="0"/>
            <wp:docPr id="24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62400" cy="247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</w:rPr>
        <w:drawing>
          <wp:inline distB="114300" distT="114300" distL="114300" distR="114300">
            <wp:extent cx="3362400" cy="2476800"/>
            <wp:effectExtent b="0" l="0" r="0" t="0"/>
            <wp:docPr id="29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62400" cy="247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</w:rPr>
        <w:drawing>
          <wp:inline distB="114300" distT="114300" distL="114300" distR="114300">
            <wp:extent cx="3361892" cy="2476800"/>
            <wp:effectExtent b="0" l="0" r="0" t="0"/>
            <wp:docPr id="22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61892" cy="247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圖1-2、 1000 hPa 風場（6/6-6/8）</w:t>
      </w:r>
    </w:p>
    <w:tbl>
      <w:tblPr>
        <w:tblStyle w:val="Table1"/>
        <w:tblW w:w="853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15"/>
        <w:gridCol w:w="7620"/>
        <w:tblGridChange w:id="0">
          <w:tblGrid>
            <w:gridCol w:w="915"/>
            <w:gridCol w:w="762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705350" cy="2272601"/>
                  <wp:effectExtent b="0" l="0" r="0" t="0"/>
                  <wp:docPr id="14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7260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705350" cy="2252759"/>
                  <wp:effectExtent b="0" l="0" r="0" t="0"/>
                  <wp:docPr id="7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5275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705350" cy="2243138"/>
                  <wp:effectExtent b="0" l="0" r="0" t="0"/>
                  <wp:docPr id="16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2431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A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圖1-3、 低層水氣通量（6/6-6/8）</w:t>
      </w:r>
    </w:p>
    <w:tbl>
      <w:tblPr>
        <w:tblStyle w:val="Table2"/>
        <w:tblW w:w="853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15"/>
        <w:gridCol w:w="7620"/>
        <w:tblGridChange w:id="0">
          <w:tblGrid>
            <w:gridCol w:w="915"/>
            <w:gridCol w:w="762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0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1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9050" distT="19050" distL="19050" distR="19050">
                  <wp:extent cx="4705350" cy="2194847"/>
                  <wp:effectExtent b="0" l="0" r="0" t="0"/>
                  <wp:docPr id="27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19484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9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9050" distT="19050" distL="19050" distR="19050">
                  <wp:extent cx="4705350" cy="2195513"/>
                  <wp:effectExtent b="0" l="0" r="0" t="0"/>
                  <wp:docPr id="20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1955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D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E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F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9050" distT="19050" distL="19050" distR="19050">
                  <wp:extent cx="4705350" cy="2185988"/>
                  <wp:effectExtent b="0" l="0" r="0" t="0"/>
                  <wp:docPr id="37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1859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2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圖1-4、 700 hPa 風場、相對濕度（6/6-6/8）</w:t>
      </w:r>
    </w:p>
    <w:tbl>
      <w:tblPr>
        <w:tblStyle w:val="Table3"/>
        <w:tblW w:w="799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15"/>
        <w:gridCol w:w="7080"/>
        <w:tblGridChange w:id="0">
          <w:tblGrid>
            <w:gridCol w:w="915"/>
            <w:gridCol w:w="708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362450" cy="2393094"/>
                  <wp:effectExtent b="0" l="0" r="0" t="0"/>
                  <wp:docPr id="2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0" cy="239309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D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E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F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362450" cy="2414588"/>
                  <wp:effectExtent b="0" l="0" r="0" t="0"/>
                  <wp:docPr id="15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0" cy="2414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3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4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5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362450" cy="2424113"/>
                  <wp:effectExtent b="0" l="0" r="0" t="0"/>
                  <wp:docPr id="36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0" cy="24241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8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圖1-5、500 hPa 高度場、渦度場（6/6-6/8）</w:t>
      </w:r>
    </w:p>
    <w:tbl>
      <w:tblPr>
        <w:tblStyle w:val="Table4"/>
        <w:tblW w:w="811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15"/>
        <w:gridCol w:w="7200"/>
        <w:tblGridChange w:id="0">
          <w:tblGrid>
            <w:gridCol w:w="915"/>
            <w:gridCol w:w="720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262438" cy="2600650"/>
                  <wp:effectExtent b="0" l="0" r="0" t="0"/>
                  <wp:docPr id="32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2438" cy="26006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262400" cy="2596189"/>
                  <wp:effectExtent b="0" l="0" r="0" t="0"/>
                  <wp:docPr id="9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2400" cy="259618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262400" cy="2600786"/>
                  <wp:effectExtent b="0" l="0" r="0" t="0"/>
                  <wp:docPr id="8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2400" cy="260078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D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圖1-6、200 hPa 高度場、風場、輻散場（6/6-6/8）</w:t>
      </w:r>
    </w:p>
    <w:tbl>
      <w:tblPr>
        <w:tblStyle w:val="Table5"/>
        <w:tblW w:w="853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15"/>
        <w:gridCol w:w="7620"/>
        <w:tblGridChange w:id="0">
          <w:tblGrid>
            <w:gridCol w:w="915"/>
            <w:gridCol w:w="762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F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0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629600" cy="2592576"/>
                  <wp:effectExtent b="0" l="0" r="0" t="0"/>
                  <wp:docPr id="12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9600" cy="259257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629600" cy="2567981"/>
                  <wp:effectExtent b="0" l="0" r="0" t="0"/>
                  <wp:docPr id="11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9600" cy="256798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E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F">
            <w:pPr>
              <w:widowControl w:val="0"/>
              <w:spacing w:line="276" w:lineRule="auto"/>
              <w:jc w:val="both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4628353" cy="2576513"/>
                  <wp:effectExtent b="0" l="0" r="0" t="0"/>
                  <wp:docPr id="1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353" cy="25765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0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圖2-1、EC / NCEP 綜觀天氣系統預報比較（500 hPa）</w:t>
      </w:r>
    </w:p>
    <w:tbl>
      <w:tblPr>
        <w:tblStyle w:val="Table6"/>
        <w:tblW w:w="901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230"/>
        <w:gridCol w:w="3892.5"/>
        <w:gridCol w:w="3892.5"/>
        <w:tblGridChange w:id="0">
          <w:tblGrid>
            <w:gridCol w:w="1230"/>
            <w:gridCol w:w="3892.5"/>
            <w:gridCol w:w="3892.5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NCEP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EC</w:t>
            </w:r>
          </w:p>
        </w:tc>
      </w:tr>
      <w:tr>
        <w:trPr>
          <w:trHeight w:val="486.97265625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6/6 00Z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343150" cy="1727200"/>
                  <wp:effectExtent b="0" l="0" r="0" t="0"/>
                  <wp:docPr id="19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727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343150" cy="1727200"/>
                  <wp:effectExtent b="0" l="0" r="0" t="0"/>
                  <wp:docPr id="30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727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6/7 00Z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343150" cy="1727200"/>
                  <wp:effectExtent b="0" l="0" r="0" t="0"/>
                  <wp:docPr id="25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727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343150" cy="1727200"/>
                  <wp:effectExtent b="0" l="0" r="0" t="0"/>
                  <wp:docPr id="28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727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6/8 00Z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343150" cy="1727200"/>
                  <wp:effectExtent b="0" l="0" r="0" t="0"/>
                  <wp:docPr id="10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727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343150" cy="1727200"/>
                  <wp:effectExtent b="0" l="0" r="0" t="0"/>
                  <wp:docPr id="3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727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D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圖2-2、EC / NCEP 綜觀天氣系統預報比較（850 hPa）</w:t>
      </w:r>
    </w:p>
    <w:tbl>
      <w:tblPr>
        <w:tblStyle w:val="Table7"/>
        <w:tblW w:w="901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230"/>
        <w:gridCol w:w="3892.5"/>
        <w:gridCol w:w="3892.5"/>
        <w:tblGridChange w:id="0">
          <w:tblGrid>
            <w:gridCol w:w="1230"/>
            <w:gridCol w:w="3892.5"/>
            <w:gridCol w:w="3892.5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NCEP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EC</w:t>
            </w:r>
          </w:p>
        </w:tc>
      </w:tr>
      <w:tr>
        <w:trPr>
          <w:trHeight w:val="546.97265625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6/6 00Z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343150" cy="1714500"/>
                  <wp:effectExtent b="0" l="0" r="0" t="0"/>
                  <wp:docPr id="26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714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343150" cy="1714500"/>
                  <wp:effectExtent b="0" l="0" r="0" t="0"/>
                  <wp:docPr id="35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714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46.97265625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6/7 00Z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343150" cy="1714500"/>
                  <wp:effectExtent b="0" l="0" r="0" t="0"/>
                  <wp:docPr id="17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714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343150" cy="1714500"/>
                  <wp:effectExtent b="0" l="0" r="0" t="0"/>
                  <wp:docPr id="5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714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6/8 00Z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343150" cy="1714500"/>
                  <wp:effectExtent b="0" l="0" r="0" t="0"/>
                  <wp:docPr id="23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714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  <w:drawing>
                <wp:inline distB="114300" distT="114300" distL="114300" distR="114300">
                  <wp:extent cx="2343150" cy="1714500"/>
                  <wp:effectExtent b="0" l="0" r="0" t="0"/>
                  <wp:docPr id="34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714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D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圖3-1、校驗（6/5 00Z - 12Z）&amp; QPF預報（6/5-6/7）</w:t>
      </w:r>
    </w:p>
    <w:p w:rsidR="00000000" w:rsidDel="00000000" w:rsidP="00000000" w:rsidRDefault="00000000" w:rsidRPr="00000000" w14:paraId="000000AF">
      <w:pPr>
        <w:widowControl w:val="0"/>
        <w:spacing w:line="276" w:lineRule="auto"/>
        <w:ind w:left="0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(a) 校驗（6/5 00Z-12Z）</w:t>
      </w:r>
    </w:p>
    <w:tbl>
      <w:tblPr>
        <w:tblStyle w:val="Table8"/>
        <w:tblW w:w="9000.0" w:type="dxa"/>
        <w:jc w:val="left"/>
        <w:tblInd w:w="129.0" w:type="dxa"/>
        <w:tblLayout w:type="fixed"/>
        <w:tblLook w:val="0600"/>
      </w:tblPr>
      <w:tblGrid>
        <w:gridCol w:w="3075"/>
        <w:gridCol w:w="2955"/>
        <w:gridCol w:w="2970"/>
        <w:tblGridChange w:id="0">
          <w:tblGrid>
            <w:gridCol w:w="3075"/>
            <w:gridCol w:w="2955"/>
            <w:gridCol w:w="2970"/>
          </w:tblGrid>
        </w:tblGridChange>
      </w:tblGrid>
      <w:tr>
        <w:trPr>
          <w:trHeight w:val="465" w:hRule="atLeast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QPE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1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EC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2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NCEP</w:t>
            </w:r>
          </w:p>
        </w:tc>
      </w:tr>
      <w:tr>
        <w:trPr>
          <w:trHeight w:val="480" w:hRule="atLeast"/>
        </w:trPr>
        <w:tc>
          <w:tcPr>
            <w:vMerge w:val="restart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3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4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5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9050" distT="19050" distL="19050" distR="19050">
                  <wp:extent cx="1819275" cy="2451377"/>
                  <wp:effectExtent b="0" l="0" r="0" t="0"/>
                  <wp:docPr id="31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5137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8">
            <w:pPr>
              <w:widowControl w:val="0"/>
              <w:spacing w:line="276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9050" distT="19050" distL="19050" distR="19050">
                  <wp:extent cx="1700213" cy="1790700"/>
                  <wp:effectExtent b="0" l="0" r="0" t="0"/>
                  <wp:docPr id="33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0213" cy="179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9">
            <w:pPr>
              <w:widowControl w:val="0"/>
              <w:spacing w:line="276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9050" distT="19050" distL="19050" distR="19050">
                  <wp:extent cx="1719263" cy="1790700"/>
                  <wp:effectExtent b="0" l="0" r="0" t="0"/>
                  <wp:docPr id="6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263" cy="179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80" w:hRule="atLeast"/>
        </w:trPr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A">
            <w:pPr>
              <w:widowControl w:val="0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WRFD</w:t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C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TWRF</w:t>
            </w:r>
          </w:p>
        </w:tc>
      </w:tr>
      <w:tr>
        <w:trPr>
          <w:trHeight w:val="480" w:hRule="atLeast"/>
        </w:trPr>
        <w:tc>
          <w:tcPr>
            <w:vMerge w:val="continue"/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D">
            <w:pPr>
              <w:widowControl w:val="0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E">
            <w:pPr>
              <w:widowControl w:val="0"/>
              <w:spacing w:line="276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9050" distT="19050" distL="19050" distR="19050">
                  <wp:extent cx="1743075" cy="1744210"/>
                  <wp:effectExtent b="0" l="0" r="0" t="0"/>
                  <wp:docPr id="13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42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</w:tcPr>
          <w:p w:rsidR="00000000" w:rsidDel="00000000" w:rsidP="00000000" w:rsidRDefault="00000000" w:rsidRPr="00000000" w14:paraId="000000BF">
            <w:pPr>
              <w:widowControl w:val="0"/>
              <w:spacing w:line="276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9050" distT="19050" distL="19050" distR="19050">
                  <wp:extent cx="1752600" cy="1734685"/>
                  <wp:effectExtent b="0" l="0" r="0" t="0"/>
                  <wp:docPr id="4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346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C0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widowControl w:val="0"/>
        <w:spacing w:line="276" w:lineRule="auto"/>
        <w:jc w:val="both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  <w:rtl w:val="0"/>
        </w:rPr>
        <w:t xml:space="preserve">(b) QPF預報（6/5-6/7）</w:t>
      </w:r>
    </w:p>
    <w:p w:rsidR="00000000" w:rsidDel="00000000" w:rsidP="00000000" w:rsidRDefault="00000000" w:rsidRPr="00000000" w14:paraId="000000CD">
      <w:pPr>
        <w:widowControl w:val="0"/>
        <w:spacing w:line="276" w:lineRule="auto"/>
        <w:jc w:val="both"/>
        <w:rPr>
          <w:rFonts w:ascii="Gungsuh" w:cs="Gungsuh" w:eastAsia="Gungsuh" w:hAnsi="Gungsuh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</w:rPr>
        <w:drawing>
          <wp:inline distB="19050" distT="19050" distL="19050" distR="19050">
            <wp:extent cx="5731200" cy="2552700"/>
            <wp:effectExtent b="0" l="0" r="0" t="0"/>
            <wp:docPr id="21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41"/>
                    <a:srcRect b="0" l="0" r="0" t="744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52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widowControl w:val="0"/>
        <w:spacing w:line="276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Gungsuh" w:cs="Gungsuh" w:eastAsia="Gungsuh" w:hAnsi="Gungsuh"/>
          <w:b w:val="1"/>
          <w:sz w:val="28"/>
          <w:szCs w:val="28"/>
        </w:rPr>
        <w:drawing>
          <wp:inline distB="19050" distT="19050" distL="19050" distR="19050">
            <wp:extent cx="5731200" cy="2260600"/>
            <wp:effectExtent b="0" l="0" r="0" t="0"/>
            <wp:docPr id="1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60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headerReference r:id="rId43" w:type="default"/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  <w:font w:name="Gungsuh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CF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zh_TW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.png"/><Relationship Id="rId20" Type="http://schemas.openxmlformats.org/officeDocument/2006/relationships/image" Target="media/image8.png"/><Relationship Id="rId42" Type="http://schemas.openxmlformats.org/officeDocument/2006/relationships/image" Target="media/image7.png"/><Relationship Id="rId41" Type="http://schemas.openxmlformats.org/officeDocument/2006/relationships/image" Target="media/image21.png"/><Relationship Id="rId22" Type="http://schemas.openxmlformats.org/officeDocument/2006/relationships/image" Target="media/image9.png"/><Relationship Id="rId21" Type="http://schemas.openxmlformats.org/officeDocument/2006/relationships/image" Target="media/image13.png"/><Relationship Id="rId43" Type="http://schemas.openxmlformats.org/officeDocument/2006/relationships/header" Target="header1.xml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0.png"/><Relationship Id="rId26" Type="http://schemas.openxmlformats.org/officeDocument/2006/relationships/image" Target="media/image22.png"/><Relationship Id="rId25" Type="http://schemas.openxmlformats.org/officeDocument/2006/relationships/image" Target="media/image25.png"/><Relationship Id="rId28" Type="http://schemas.openxmlformats.org/officeDocument/2006/relationships/image" Target="media/image4.png"/><Relationship Id="rId27" Type="http://schemas.openxmlformats.org/officeDocument/2006/relationships/image" Target="media/image32.png"/><Relationship Id="rId5" Type="http://schemas.openxmlformats.org/officeDocument/2006/relationships/styles" Target="styles.xml"/><Relationship Id="rId6" Type="http://schemas.openxmlformats.org/officeDocument/2006/relationships/image" Target="media/image24.png"/><Relationship Id="rId29" Type="http://schemas.openxmlformats.org/officeDocument/2006/relationships/image" Target="media/image1.png"/><Relationship Id="rId7" Type="http://schemas.openxmlformats.org/officeDocument/2006/relationships/image" Target="media/image26.png"/><Relationship Id="rId8" Type="http://schemas.openxmlformats.org/officeDocument/2006/relationships/image" Target="media/image28.png"/><Relationship Id="rId31" Type="http://schemas.openxmlformats.org/officeDocument/2006/relationships/image" Target="media/image35.png"/><Relationship Id="rId30" Type="http://schemas.openxmlformats.org/officeDocument/2006/relationships/image" Target="media/image29.png"/><Relationship Id="rId11" Type="http://schemas.openxmlformats.org/officeDocument/2006/relationships/image" Target="media/image17.png"/><Relationship Id="rId33" Type="http://schemas.openxmlformats.org/officeDocument/2006/relationships/image" Target="media/image12.png"/><Relationship Id="rId10" Type="http://schemas.openxmlformats.org/officeDocument/2006/relationships/image" Target="media/image11.png"/><Relationship Id="rId32" Type="http://schemas.openxmlformats.org/officeDocument/2006/relationships/image" Target="media/image14.png"/><Relationship Id="rId13" Type="http://schemas.openxmlformats.org/officeDocument/2006/relationships/image" Target="media/image19.png"/><Relationship Id="rId35" Type="http://schemas.openxmlformats.org/officeDocument/2006/relationships/image" Target="media/image33.png"/><Relationship Id="rId12" Type="http://schemas.openxmlformats.org/officeDocument/2006/relationships/image" Target="media/image23.png"/><Relationship Id="rId34" Type="http://schemas.openxmlformats.org/officeDocument/2006/relationships/image" Target="media/image27.png"/><Relationship Id="rId15" Type="http://schemas.openxmlformats.org/officeDocument/2006/relationships/image" Target="media/image18.png"/><Relationship Id="rId37" Type="http://schemas.openxmlformats.org/officeDocument/2006/relationships/image" Target="media/image31.png"/><Relationship Id="rId14" Type="http://schemas.openxmlformats.org/officeDocument/2006/relationships/image" Target="media/image36.png"/><Relationship Id="rId36" Type="http://schemas.openxmlformats.org/officeDocument/2006/relationships/image" Target="media/image30.png"/><Relationship Id="rId17" Type="http://schemas.openxmlformats.org/officeDocument/2006/relationships/image" Target="media/image37.png"/><Relationship Id="rId39" Type="http://schemas.openxmlformats.org/officeDocument/2006/relationships/image" Target="media/image3.png"/><Relationship Id="rId16" Type="http://schemas.openxmlformats.org/officeDocument/2006/relationships/image" Target="media/image5.png"/><Relationship Id="rId38" Type="http://schemas.openxmlformats.org/officeDocument/2006/relationships/image" Target="media/image20.png"/><Relationship Id="rId19" Type="http://schemas.openxmlformats.org/officeDocument/2006/relationships/image" Target="media/image6.png"/><Relationship Id="rId1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